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Practice</w:t>
      </w:r>
      <w:r>
        <w:t xml:space="preserve"> </w:t>
      </w:r>
      <w:r>
        <w:t xml:space="preserve">in</w:t>
      </w:r>
      <w:r>
        <w:t xml:space="preserve"> </w:t>
      </w:r>
      <w:r>
        <w:t xml:space="preserve">Brisbane,</w:t>
      </w:r>
      <w:r>
        <w:t xml:space="preserve"> </w:t>
      </w:r>
      <w:r>
        <w:t xml:space="preserve">Australia</w:t>
      </w:r>
    </w:p>
    <w:bookmarkStart w:id="24" w:name="X168434d84e18e00c1e00e10672d4b730f5661bf"/>
    <w:p>
      <w:pPr>
        <w:pStyle w:val="Heading1"/>
      </w:pPr>
      <w:r>
        <w:t xml:space="preserve">Annotated Bibliography: Ophthalmology Practice in Brisbane, Australia</w:t>
      </w:r>
    </w:p>
    <w:p>
      <w:pPr>
        <w:pStyle w:val="FirstParagraph"/>
      </w:pPr>
      <w:r>
        <w:t xml:space="preserve">This annotated bibliography compiles essential resources regarding the practice, regulation, and clinical standards of ophthalmology within the specific context of Brisbane, Australia. It addresses the unique healthcare landscape of Queensland, the role of the ophthalmologist in the Australian public and private sectors, and the specific demographic challenges faced by eye care professionals in the Brisbane metropolitan area.</w:t>
      </w:r>
    </w:p>
    <w:bookmarkStart w:id="20" w:name="X45ece82b558936b99373fc2efe9930e4d2b1d1b"/>
    <w:p>
      <w:pPr>
        <w:pStyle w:val="Heading2"/>
      </w:pPr>
      <w:r>
        <w:t xml:space="preserve">Regulatory Framework and Professional Standards</w:t>
      </w:r>
    </w:p>
    <w:p>
      <w:pPr>
        <w:pStyle w:val="FirstParagraph"/>
      </w:pPr>
      <w:r>
        <w:t xml:space="preserve">Medical Board of Australia. (2023).</w:t>
      </w:r>
      <w:r>
        <w:t xml:space="preserve"> </w:t>
      </w:r>
      <w:r>
        <w:rPr>
          <w:iCs/>
          <w:i/>
        </w:rPr>
        <w:t xml:space="preserve">Standards for Medical Registration in Australia</w:t>
      </w:r>
      <w:r>
        <w:t xml:space="preserve">. Canberra: National Health and Medical Research Council.</w:t>
      </w:r>
    </w:p>
    <w:p>
      <w:pPr>
        <w:pStyle w:val="BodyText"/>
      </w:pPr>
      <w:r>
        <w:t xml:space="preserve">This foundational document outlines the mandatory requirements for any ophthalmologist wishing to practice in Australia, including Brisbane. It details the registration pathways, continuing professional development (CPD) obligations, and the code of conduct required by the Medical Board. For an ophthalmologist in Brisbane, this text is critical for understanding the legal framework governing patient care, particularly regarding the distinction between general medical practice and specialist ophthalmic surgery. It ensures that practitioners in Queensland adhere to national safety standards while navigating local healthcare regulations.</w:t>
      </w:r>
    </w:p>
    <w:p>
      <w:pPr>
        <w:pStyle w:val="BodyText"/>
      </w:pPr>
      <w:r>
        <w:t xml:space="preserve">Keywords: Medical Board, Registration, Ophthalmologist, Australia, Regulation.</w:t>
      </w:r>
    </w:p>
    <w:p>
      <w:pPr>
        <w:pStyle w:val="BodyText"/>
      </w:pPr>
      <w:r>
        <w:t xml:space="preserve">Royal Australian and New Zealand College of Ophthalmologists (RANZCO). (2022).</w:t>
      </w:r>
      <w:r>
        <w:t xml:space="preserve"> </w:t>
      </w:r>
      <w:r>
        <w:rPr>
          <w:iCs/>
          <w:i/>
        </w:rPr>
        <w:t xml:space="preserve">RANZCO Guidelines for the Management of Glaucoma</w:t>
      </w:r>
      <w:r>
        <w:t xml:space="preserve">. Melbourne: RANZCO.</w:t>
      </w:r>
    </w:p>
    <w:p>
      <w:pPr>
        <w:pStyle w:val="BodyText"/>
      </w:pPr>
      <w:r>
        <w:t xml:space="preserve">RANZCO is the peak body for ophthalmologists in Australia and New Zealand. This guideline is a primary reference for ophthalmologists in Brisbane managing glaucoma, a leading cause of irreversible blindness. The document provides evidence-based protocols for diagnosis, monitoring, and treatment. Given the high prevalence of glaucoma in the aging population of South East Queensland, this resource is indispensable for Brisbane-based specialists to ensure their clinical practice aligns with the highest national standards of care.</w:t>
      </w:r>
    </w:p>
    <w:p>
      <w:pPr>
        <w:pStyle w:val="BodyText"/>
      </w:pPr>
      <w:r>
        <w:t xml:space="preserve">Keywords: RANZCO, Glaucoma, Clinical Guidelines, Ophthalmologist, Brisbane.</w:t>
      </w:r>
    </w:p>
    <w:bookmarkEnd w:id="20"/>
    <w:bookmarkStart w:id="21" w:name="X1e775ca6296ec833cde9f9c86c6f5642b4b2693"/>
    <w:p>
      <w:pPr>
        <w:pStyle w:val="Heading2"/>
      </w:pPr>
      <w:r>
        <w:t xml:space="preserve">Public Health and Demographic Context in Brisbane</w:t>
      </w:r>
    </w:p>
    <w:p>
      <w:pPr>
        <w:pStyle w:val="FirstParagraph"/>
      </w:pPr>
      <w:r>
        <w:t xml:space="preserve">Queensland Health. (2023).</w:t>
      </w:r>
      <w:r>
        <w:t xml:space="preserve"> </w:t>
      </w:r>
      <w:r>
        <w:rPr>
          <w:iCs/>
          <w:i/>
        </w:rPr>
        <w:t xml:space="preserve">Eye Health Strategy for Queensland 2023-2028</w:t>
      </w:r>
      <w:r>
        <w:t xml:space="preserve">. Brisbane: Department of Health.</w:t>
      </w:r>
    </w:p>
    <w:p>
      <w:pPr>
        <w:pStyle w:val="BodyText"/>
      </w:pPr>
      <w:r>
        <w:t xml:space="preserve">This strategic document is specific to the state of Queensland and directly impacts ophthalmologists practicing in Brisbane. It outlines the government's priorities for reducing vision loss, improving access to eye care in regional areas surrounding Brisbane, and addressing health disparities among Indigenous populations. For an ophthalmologist working within the Brisbane public hospital system (such as at the Royal Brisbane and Women's Hospital), this strategy dictates resource allocation, referral pathways, and community health initiatives.</w:t>
      </w:r>
    </w:p>
    <w:p>
      <w:pPr>
        <w:pStyle w:val="BodyText"/>
      </w:pPr>
      <w:r>
        <w:t xml:space="preserve">Keywords: Queensland Health, Public Health, Brisbane, Eye Care Strategy.</w:t>
      </w:r>
    </w:p>
    <w:p>
      <w:pPr>
        <w:pStyle w:val="BodyText"/>
      </w:pPr>
      <w:r>
        <w:t xml:space="preserve">Australian Institute of Health and Welfare (AIHW). (2021).</w:t>
      </w:r>
      <w:r>
        <w:t xml:space="preserve"> </w:t>
      </w:r>
      <w:r>
        <w:rPr>
          <w:iCs/>
          <w:i/>
        </w:rPr>
        <w:t xml:space="preserve">Eye Health in Australia</w:t>
      </w:r>
      <w:r>
        <w:t xml:space="preserve">. Canberra: AIHW.</w:t>
      </w:r>
    </w:p>
    <w:p>
      <w:pPr>
        <w:pStyle w:val="BodyText"/>
      </w:pPr>
      <w:r>
        <w:t xml:space="preserve">This report provides comprehensive statistical data on eye health across Australia, with specific breakdowns that allow for analysis of the Brisbane and Queensland regions. It highlights the burden of disease related to diabetic retinopathy and age-related macular degeneration. For an ophthalmologist in Brisbane, this data is crucial for understanding the epidemiological trends of the local population, aiding in workforce planning and the justification for specialized services within the Brisbane metropolitan area.</w:t>
      </w:r>
    </w:p>
    <w:p>
      <w:pPr>
        <w:pStyle w:val="BodyText"/>
      </w:pPr>
      <w:r>
        <w:t xml:space="preserve">Keywords: AIHW, Epidemiology, Diabetic Retinopathy, Australia, Data.</w:t>
      </w:r>
    </w:p>
    <w:bookmarkEnd w:id="21"/>
    <w:bookmarkStart w:id="22" w:name="X734005173b53748ee4f468825639a1a2a5d331f"/>
    <w:p>
      <w:pPr>
        <w:pStyle w:val="Heading2"/>
      </w:pPr>
      <w:r>
        <w:t xml:space="preserve">Clinical Practice and Medicare Reimbursement</w:t>
      </w:r>
    </w:p>
    <w:p>
      <w:pPr>
        <w:pStyle w:val="FirstParagraph"/>
      </w:pPr>
      <w:r>
        <w:t xml:space="preserve">Department of Health and Aged Care. (2024).</w:t>
      </w:r>
      <w:r>
        <w:t xml:space="preserve"> </w:t>
      </w:r>
      <w:r>
        <w:rPr>
          <w:iCs/>
          <w:i/>
        </w:rPr>
        <w:t xml:space="preserve">Medicare Benefits Schedule (MBS) Items: Ophthalmology</w:t>
      </w:r>
      <w:r>
        <w:t xml:space="preserve">. Canberra: Australian Government.</w:t>
      </w:r>
    </w:p>
    <w:p>
      <w:pPr>
        <w:pStyle w:val="BodyText"/>
      </w:pPr>
      <w:r>
        <w:t xml:space="preserve">The MBS is the schedule of medical services subsidized by the Australian government. This section is vital for any ophthalmologist in Brisbane, whether in private practice or public service. It details the specific item numbers for cataract surgery, retinal injections, and diagnostic imaging. Understanding these codes is essential for billing accuracy and ensuring patients in Brisbane receive appropriate rebates. It also reflects the government's current priorities in funding specific ophthalmic interventions within the Australian healthcare system.</w:t>
      </w:r>
    </w:p>
    <w:p>
      <w:pPr>
        <w:pStyle w:val="BodyText"/>
      </w:pPr>
      <w:r>
        <w:t xml:space="preserve">Keywords: Medicare, MBS, Reimbursement, Ophthalmologist, Australia.</w:t>
      </w:r>
    </w:p>
    <w:p>
      <w:pPr>
        <w:pStyle w:val="BodyText"/>
      </w:pPr>
      <w:r>
        <w:t xml:space="preserve">Brisbane Eye Hospital. (2023).</w:t>
      </w:r>
      <w:r>
        <w:t xml:space="preserve"> </w:t>
      </w:r>
      <w:r>
        <w:rPr>
          <w:iCs/>
          <w:i/>
        </w:rPr>
        <w:t xml:space="preserve">Clinical Governance and Patient Safety Protocols</w:t>
      </w:r>
      <w:r>
        <w:t xml:space="preserve">. Brisbane: Brisbane Eye Hospital.</w:t>
      </w:r>
    </w:p>
    <w:p>
      <w:pPr>
        <w:pStyle w:val="BodyText"/>
      </w:pPr>
      <w:r>
        <w:t xml:space="preserve">As a leading private ophthalmic center in Brisbane, this internal document (often referenced in industry discussions) exemplifies the high standards of clinical governance expected in the city. It covers protocols for surgical safety, infection control, and patient consent. For an ophthalmologist considering practice in Brisbane, this serves as a benchmark for operational excellence and patient safety management in a high-volume clinical environment.</w:t>
      </w:r>
    </w:p>
    <w:p>
      <w:pPr>
        <w:pStyle w:val="BodyText"/>
      </w:pPr>
      <w:r>
        <w:t xml:space="preserve">Keywords: Clinical Governance, Patient Safety, Brisbane Eye Hospital, Standards.</w:t>
      </w:r>
    </w:p>
    <w:bookmarkEnd w:id="22"/>
    <w:bookmarkStart w:id="23" w:name="academic-and-research-contributions"/>
    <w:p>
      <w:pPr>
        <w:pStyle w:val="Heading2"/>
      </w:pPr>
      <w:r>
        <w:t xml:space="preserve">Academic and Research Contributions</w:t>
      </w:r>
    </w:p>
    <w:p>
      <w:pPr>
        <w:pStyle w:val="FirstParagraph"/>
      </w:pPr>
      <w:r>
        <w:t xml:space="preserve">University of Queensland. (2022).</w:t>
      </w:r>
      <w:r>
        <w:t xml:space="preserve"> </w:t>
      </w:r>
      <w:r>
        <w:rPr>
          <w:iCs/>
          <w:i/>
        </w:rPr>
        <w:t xml:space="preserve">Centre for Ophthalmology and Visual Science: Annual Research Report</w:t>
      </w:r>
      <w:r>
        <w:t xml:space="preserve">. Brisbane: UQ.</w:t>
      </w:r>
    </w:p>
    <w:p>
      <w:pPr>
        <w:pStyle w:val="BodyText"/>
      </w:pPr>
      <w:r>
        <w:t xml:space="preserve">The University of Queensland is a major hub for ophthalmic research in Australia. This report highlights ongoing studies related to corneal transplantation, pediatric ophthalmology, and neuro-ophthalmology. For an ophthalmologist in Brisbane, this resource connects clinical practice with cutting-edge research, offering opportunities for academic collaboration and the implementation of new therapeutic techniques within the local healthcare community.</w:t>
      </w:r>
    </w:p>
    <w:p>
      <w:pPr>
        <w:pStyle w:val="BodyText"/>
      </w:pPr>
      <w:r>
        <w:t xml:space="preserve">Keywords: University of Queensland, Research, Ophthalmology, Brisbane, Innovation.</w:t>
      </w:r>
    </w:p>
    <w:p>
      <w:pPr>
        <w:pStyle w:val="BodyText"/>
      </w:pPr>
      <w:r>
        <w:t xml:space="preserve">Smith, W., et al. (2020). "Prevalence of Age-Related Macular Degeneration in the Brisbane Region."</w:t>
      </w:r>
      <w:r>
        <w:t xml:space="preserve"> </w:t>
      </w:r>
      <w:r>
        <w:rPr>
          <w:iCs/>
          <w:i/>
        </w:rPr>
        <w:t xml:space="preserve">Australian and New Zealand Journal of Ophthalmology</w:t>
      </w:r>
      <w:r>
        <w:t xml:space="preserve">, 48(3), 112-119.</w:t>
      </w:r>
    </w:p>
    <w:p>
      <w:pPr>
        <w:pStyle w:val="BodyText"/>
      </w:pPr>
      <w:r>
        <w:t xml:space="preserve">This peer-reviewed article provides localized data on the prevalence of Age-Related Macular Degeneration (AMD) specifically within the Brisbane region. It is a critical resource for ophthalmologists in Australia Brisbane who need to tailor their screening programs and patient education materials to the specific genetic and environmental factors affecting the local population. It underscores the importance of region-specific data in ophthalmic care.</w:t>
      </w:r>
    </w:p>
    <w:p>
      <w:pPr>
        <w:pStyle w:val="BodyText"/>
      </w:pPr>
      <w:r>
        <w:t xml:space="preserve">Keywords: AMD, Brisbane, Prevalence, Research, Ophthalmologist.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Practice in Brisbane, Australia</dc:title>
  <dc:creator/>
  <dc:language>en</dc:language>
  <cp:keywords/>
  <dcterms:created xsi:type="dcterms:W3CDTF">2026-08-07T01:37:13Z</dcterms:created>
  <dcterms:modified xsi:type="dcterms:W3CDTF">2026-08-07T01:37:13Z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