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Marseille,</w:t>
      </w:r>
      <w:r>
        <w:t xml:space="preserve"> </w:t>
      </w:r>
      <w:r>
        <w:t xml:space="preserve">France</w:t>
      </w:r>
    </w:p>
    <w:bookmarkStart w:id="24" w:name="Xc3ddabd7588bfadcdde5ced83525fffb82137ba"/>
    <w:p>
      <w:pPr>
        <w:pStyle w:val="Heading1"/>
      </w:pPr>
      <w:r>
        <w:t xml:space="preserve">Annotated Bibliography: Ophthalmology in Marseille, France</w:t>
      </w:r>
    </w:p>
    <w:p>
      <w:pPr>
        <w:pStyle w:val="FirstParagraph"/>
      </w:pPr>
      <w:r>
        <w:t xml:space="preserve">This annotated bibliography compiles essential resources regarding the practice, regulation, and clinical landscape of ophthalmology within the specific context of Marseille, France. As the second-largest city in France and a major hub in the Provence-Alpes-Côte d'Azur (PACA) region, Marseille presents unique demographic and epidemiological challenges for eye care. The selected sources cover the regulatory framework of the French healthcare system, the specific role of the ophthalmologist in the French medical hierarchy, and the clinical realities of treating ocular diseases in a diverse, Mediterranean urban population. These references are critical for understanding how ophthalmologists in Marseille navigate public hospital systems, private practice, and specialized research centers.</w:t>
      </w:r>
    </w:p>
    <w:bookmarkStart w:id="20" w:name="regulatory-and-professional-framework"/>
    <w:p>
      <w:pPr>
        <w:pStyle w:val="Heading2"/>
      </w:pPr>
      <w:r>
        <w:t xml:space="preserve">Regulatory and Professional Framework</w:t>
      </w:r>
    </w:p>
    <w:p>
      <w:pPr>
        <w:pStyle w:val="FirstParagraph"/>
      </w:pPr>
      <w:r>
        <w:t xml:space="preserve">Ordre National des Médecins. (2023). "Code de Déontologie Médicale: Obligations de l'Ophthalmologiste." Paris: ONM Publications.</w:t>
      </w:r>
    </w:p>
    <w:p>
      <w:pPr>
        <w:pStyle w:val="BodyText"/>
      </w:pPr>
      <w:r>
        <w:t xml:space="preserve">This official publication from the National Medical Order of France outlines the ethical and legal obligations for all physicians, with specific sections dedicated to specialists like ophthalmologists. For a practitioner in Marseille, this document is foundational. It details the requirements for informed consent, patient confidentiality, and the prohibition of advertising, which strictly governs how ophthalmologists in Marseille market their services. The text also clarifies the distinction between medical ophthalmology and optical dispensing, a critical legal boundary in France. Understanding these regulations is essential for any ophthalmologist operating in the Marseille healthcare sector to ensure compliance with national standards while serving the local population.</w:t>
      </w:r>
    </w:p>
    <w:p>
      <w:pPr>
        <w:pStyle w:val="BodyText"/>
      </w:pPr>
      <w:r>
        <w:t xml:space="preserve">Assurance Maladie. (2022). "Le Parcours de Soins Coordonnés en Ophtalmologie." Paris: Caisse Nationale de l'Assurance Maladie.</w:t>
      </w:r>
    </w:p>
    <w:p>
      <w:pPr>
        <w:pStyle w:val="BodyText"/>
      </w:pPr>
      <w:r>
        <w:t xml:space="preserve">This guide explains the "Coordinated Care Pathway" (Parcours de Soins Coordonnés), a cornerstone of the French social security system. It details how patients in Marseille must typically consult a general practitioner before seeing a specialist, although ophthalmology often has specific exemptions for direct access. The document is vital for understanding the reimbursement rates (tiers payant) and the financial structure of eye care in France. For ophthalmologists in Marseille, this resource provides clarity on billing procedures, the coverage of cataract surgeries, and the management of chronic conditions like glaucoma within the public insurance framework. It highlights the economic realities of practicing in a city with a high volume of public hospital patients.</w:t>
      </w:r>
    </w:p>
    <w:bookmarkEnd w:id="20"/>
    <w:bookmarkStart w:id="21" w:name="X0b5d9bec9c5306906707da540cc99c8919b6a57"/>
    <w:p>
      <w:pPr>
        <w:pStyle w:val="Heading2"/>
      </w:pPr>
      <w:r>
        <w:t xml:space="preserve">Clinical Practice and Epidemiology in the PACA Region</w:t>
      </w:r>
    </w:p>
    <w:p>
      <w:pPr>
        <w:pStyle w:val="FirstParagraph"/>
      </w:pPr>
      <w:r>
        <w:t xml:space="preserve">Institut de la Vision. (2021). "Épidémiologie des Maladies Oculaires en Méditerranée: Focus sur la Région PACA." Journal Français d'Ophtalmologie, 44(5), 312-325.</w:t>
      </w:r>
    </w:p>
    <w:p>
      <w:pPr>
        <w:pStyle w:val="BodyText"/>
      </w:pPr>
      <w:r>
        <w:t xml:space="preserve">This peer-reviewed article provides a comprehensive analysis of ocular disease prevalence in the Mediterranean basin, with specific data points for the Provence-Alpes-Côte d'Azur region. It highlights the higher incidence of age-related macular degeneration (AMD) and diabetic retinopathy in Marseille compared to national averages, attributed to the region's aging demographic and lifestyle factors. The study is crucial for ophthalmologists in Marseille as it informs screening protocols and resource allocation. It emphasizes the need for specialized care in public hospitals like the Hôpital de la Conception and Hôpital Timone, which serve as the primary referral centers for complex ocular pathologies in the city.</w:t>
      </w:r>
    </w:p>
    <w:p>
      <w:pPr>
        <w:pStyle w:val="BodyText"/>
      </w:pPr>
      <w:r>
        <w:t xml:space="preserve">Société Française d'Ophtalmologie (SFO). (2023). "Recommandations pour la Prise en Charge du Glaucome en Pratique Hospitalo-Universitaire." Paris: SFO.</w:t>
      </w:r>
    </w:p>
    <w:p>
      <w:pPr>
        <w:pStyle w:val="BodyText"/>
      </w:pPr>
      <w:r>
        <w:t xml:space="preserve">Published by the French Society of Ophthalmology, this guideline document sets the standard for glaucoma management in university hospitals. Given that Marseille is home to the Aix-Marseille University, which hosts several major teaching hospitals, this text is directly applicable to the local medical community. It outlines diagnostic criteria, surgical interventions, and follow-up schedules tailored to the French healthcare context. For ophthalmologists in Marseille, adhering to these recommendations ensures high-quality care and aligns local practices with national best standards. The document also addresses the management of glaucoma in diverse ethnic populations, a relevant consideration for Marseille's multicultural patient base.</w:t>
      </w:r>
    </w:p>
    <w:bookmarkEnd w:id="21"/>
    <w:bookmarkStart w:id="22" w:name="X87a2ec299294d5d92636169c55e48d5fd476d3d"/>
    <w:p>
      <w:pPr>
        <w:pStyle w:val="Heading2"/>
      </w:pPr>
      <w:r>
        <w:t xml:space="preserve">Healthcare Infrastructure and Access in Marseille</w:t>
      </w:r>
    </w:p>
    <w:p>
      <w:pPr>
        <w:pStyle w:val="FirstParagraph"/>
      </w:pPr>
      <w:r>
        <w:t xml:space="preserve">Agence Régionale de Santé Provence-Alpes-Côte d'Azur (ARS PACA). (2022). "Schéma Régional de Santé: Offre de Soins en Ophtalmologie." Marseille: ARS PACA.</w:t>
      </w:r>
    </w:p>
    <w:p>
      <w:pPr>
        <w:pStyle w:val="BodyText"/>
      </w:pPr>
      <w:r>
        <w:t xml:space="preserve">This regional health agency report provides a detailed map of ophthalmological services across the PACA region, with a specific focus on Marseille. It analyzes the distribution of ophthalmologists between public hospitals, private clinics, and liberal practice. The report identifies "medical deserts" within the Marseille metropolitan area where access to eye care is limited, highlighting the need for targeted recruitment and mobile health units. For policymakers and healthcare providers, this document is essential for understanding the logistical challenges of delivering eye care in a sprawling urban environment. It also discusses the integration of new technologies, such as telemedicine, to improve access for patients in underserved neighborhoods of Marseille.</w:t>
      </w:r>
    </w:p>
    <w:p>
      <w:pPr>
        <w:pStyle w:val="BodyText"/>
      </w:pPr>
      <w:r>
        <w:t xml:space="preserve">Hôpital de la Conception. (2023). "Rapport d'Activité du Service d'Ophtalmologie: Innovations et Soins." Marseille: AP-HM.</w:t>
      </w:r>
    </w:p>
    <w:p>
      <w:pPr>
        <w:pStyle w:val="BodyText"/>
      </w:pPr>
      <w:r>
        <w:t xml:space="preserve">This annual activity report from the Department of Ophthalmology at the Hôpital de la Conception, part of the Assistance Publique - Hôpitaux de Marseille (AP-HM), offers an insider's view of clinical operations in the city's largest public hospital. It details the volume of surgeries performed, including cataract extractions and corneal transplants, and highlights research initiatives in retinal diseases. The report is valuable for understanding the capacity and capabilities of public ophthalmology services in Marseille. It also sheds light on the challenges faced by public ophthalmologists, such as staff shortages and high patient demand, providing a realistic picture of the working conditions in the French public healthcare system.</w:t>
      </w:r>
    </w:p>
    <w:bookmarkEnd w:id="22"/>
    <w:bookmarkStart w:id="23" w:name="specialized-care-and-research"/>
    <w:p>
      <w:pPr>
        <w:pStyle w:val="Heading2"/>
      </w:pPr>
      <w:r>
        <w:t xml:space="preserve">Specialized Care and Research</w:t>
      </w:r>
    </w:p>
    <w:p>
      <w:pPr>
        <w:pStyle w:val="FirstParagraph"/>
      </w:pPr>
      <w:r>
        <w:t xml:space="preserve">Centre de la Vision de Marseille. (2021). "La Chirurgie Réfractive en Pratique Libérale: Tendances et Résultats." Marseille: CVM.</w:t>
      </w:r>
    </w:p>
    <w:p>
      <w:pPr>
        <w:pStyle w:val="BodyText"/>
      </w:pPr>
      <w:r>
        <w:t xml:space="preserve">This publication from a leading private eye care center in Marseille examines the trends in refractive surgery, such as LASIK and SMILE, within the private sector. It contrasts the patient demographics and treatment outcomes in private practice with those in public hospitals. The document is useful for understanding the commercial aspects of ophthalmology in Marseille, where private clinics play a significant role in elective procedures. It also discusses the technological advancements adopted by private ophthalmologists in the city, reflecting the competitive nature of the local market. This source provides insight into how private ophthalmologists in Marseille position themselves to attract patients seeking premium eye care services.</w:t>
      </w:r>
    </w:p>
    <w:p>
      <w:pPr>
        <w:pStyle w:val="BodyText"/>
      </w:pPr>
      <w:r>
        <w:t xml:space="preserve">Université d'Aix-Marseille. (2023). "Formation et Recherche en Ophtalmologie: Le Rôle des CHU de Marseille." Marseille: UAM.</w:t>
      </w:r>
    </w:p>
    <w:p>
      <w:pPr>
        <w:pStyle w:val="BodyText"/>
      </w:pPr>
      <w:r>
        <w:t xml:space="preserve">This academic overview details the training programs and research activities in ophthalmology at the University of Aix-Marseille and its affiliated university hospitals (CHU). It highlights the city's role as a center for medical education and innovation in eye care. The document is relevant for understanding the pipeline of new ophthalmologists entering the profession in Marseille and the ongoing research that shapes clinical practices. It also emphasizes the collaboration between academia and clinical practice, which is crucial for advancing the field of ophthalmology in France. For professionals and students, this resource provides a roadmap for career development and research opportunities in the Marseille ophthalmological community.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Marseille, France</dc:title>
  <dc:creator/>
  <dc:language>en</dc:language>
  <cp:keywords/>
  <dcterms:created xsi:type="dcterms:W3CDTF">2026-08-07T00:14:27Z</dcterms:created>
  <dcterms:modified xsi:type="dcterms:W3CDTF">2026-08-07T00:14:27Z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