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Frankfurt,</w:t>
      </w:r>
      <w:r>
        <w:t xml:space="preserve"> </w:t>
      </w:r>
      <w:r>
        <w:t xml:space="preserve">Germany</w:t>
      </w:r>
    </w:p>
    <w:bookmarkStart w:id="25" w:name="X5b2a8bab5603a1f51cc0fdc1558c66f5b640b58"/>
    <w:p>
      <w:pPr>
        <w:pStyle w:val="Heading1"/>
      </w:pPr>
      <w:r>
        <w:t xml:space="preserve">Annotated Bibliography: Ophthalmology in Frankfurt, Germany</w:t>
      </w:r>
    </w:p>
    <w:p>
      <w:pPr>
        <w:pStyle w:val="FirstParagraph"/>
      </w:pPr>
      <w:r>
        <w:t xml:space="preserve">This annotated bibliography compiles essential resources regarding the practice, standards, and landscape of ophthalmology within Frankfurt, Germany. It addresses the specific regulatory environment of the German healthcare system, the high-tech medical infrastructure available in Frankfurt, and the role of the ophthalmologist in treating both common and complex ocular conditions. These sources are selected to provide a comprehensive overview for medical professionals, researchers, and patients navigating the specialized eye care sector in this major German hub.</w:t>
      </w:r>
    </w:p>
    <w:bookmarkStart w:id="20" w:name="regulatory-and-professional-standards"/>
    <w:p>
      <w:pPr>
        <w:pStyle w:val="Heading2"/>
      </w:pPr>
      <w:r>
        <w:t xml:space="preserve">Regulatory and Professional Standards</w:t>
      </w:r>
    </w:p>
    <w:p>
      <w:pPr>
        <w:pStyle w:val="FirstParagraph"/>
      </w:pPr>
      <w:r>
        <w:t xml:space="preserve">Bundesärztekammer (BÄK). (2023).</w:t>
      </w:r>
      <w:r>
        <w:t xml:space="preserve"> </w:t>
      </w:r>
      <w:r>
        <w:rPr>
          <w:iCs/>
          <w:i/>
        </w:rPr>
        <w:t xml:space="preserve">Musterverordnung über die Weiterbildung zum Facharzt für Augenheilkunde</w:t>
      </w:r>
      <w:r>
        <w:t xml:space="preserve"> </w:t>
      </w:r>
      <w:r>
        <w:t xml:space="preserve">[Model Ordinance on Specialist Training in Ophthalmology]. Bonn: Federal Medical Association of Germany.</w:t>
      </w:r>
    </w:p>
    <w:p>
      <w:pPr>
        <w:pStyle w:val="BodyText"/>
      </w:pPr>
      <w:r>
        <w:t xml:space="preserve">This document outlines the rigorous training requirements for an ophthalmologist in Germany. It details the mandatory duration of residency, the specific clinical rotations required, and the examination standards necessary to achieve the title of "Facharzt für Augenheilkunde." For the context of Frankfurt, this source is critical as it defines the qualifications of specialists practicing at major institutions such as the Goethe University Hospital. It ensures that patients in Frankfurt receive care from professionals who have met the stringent national standards for surgical and diagnostic competence in eye care.</w:t>
      </w:r>
    </w:p>
    <w:p>
      <w:pPr>
        <w:pStyle w:val="BodyText"/>
      </w:pPr>
      <w:r>
        <w:t xml:space="preserve">Kassenärztliche Vereinigung Hessen (KVH). (2024).</w:t>
      </w:r>
      <w:r>
        <w:t xml:space="preserve"> </w:t>
      </w:r>
      <w:r>
        <w:rPr>
          <w:iCs/>
          <w:i/>
        </w:rPr>
        <w:t xml:space="preserve">Verzeichnis der Vertragsärzte: Augenheilkunde in Frankfurt am Main</w:t>
      </w:r>
      <w:r>
        <w:t xml:space="preserve"> </w:t>
      </w:r>
      <w:r>
        <w:t xml:space="preserve">[Directory of Contracted Physicians: Ophthalmology in Frankfurt]. Wiesbaden: KVH.</w:t>
      </w:r>
    </w:p>
    <w:p>
      <w:pPr>
        <w:pStyle w:val="BodyText"/>
      </w:pPr>
      <w:r>
        <w:t xml:space="preserve">This directory is a practical resource for understanding the distribution of ophthalmologists in Frankfurt. It lists all eye specialists contracted with the statutory health insurance system (GKV). The document highlights the density of ophthalmological practices in Frankfurt, reflecting the city's status as a medical hub. It is essential for analyzing patient access to care, waiting times, and the balance between public and private ophthalmology services in the region.</w:t>
      </w:r>
    </w:p>
    <w:bookmarkEnd w:id="20"/>
    <w:bookmarkStart w:id="21" w:name="X9dc4b1489ae7933bf313a4b7e5729237fc334e1"/>
    <w:p>
      <w:pPr>
        <w:pStyle w:val="Heading2"/>
      </w:pPr>
      <w:r>
        <w:t xml:space="preserve">Clinical Practice and Medical Infrastructure</w:t>
      </w:r>
    </w:p>
    <w:p>
      <w:pPr>
        <w:pStyle w:val="FirstParagraph"/>
      </w:pPr>
      <w:r>
        <w:t xml:space="preserve">Goethe-Universität Frankfurt. (2023).</w:t>
      </w:r>
      <w:r>
        <w:t xml:space="preserve"> </w:t>
      </w:r>
      <w:r>
        <w:rPr>
          <w:iCs/>
          <w:i/>
        </w:rPr>
        <w:t xml:space="preserve">Klinik für Augenheilkunde: Annual Report on Clinical Excellence and Research</w:t>
      </w:r>
      <w:r>
        <w:t xml:space="preserve">. Frankfurt am Main: University Hospital Frankfurt.</w:t>
      </w:r>
    </w:p>
    <w:p>
      <w:pPr>
        <w:pStyle w:val="BodyText"/>
      </w:pPr>
      <w:r>
        <w:t xml:space="preserve">This annual report provides an in-depth look at the academic and clinical activities of one of Germany's leading ophthalmology departments. It details advancements in retinal surgery, corneal transplantation, and pediatric ophthalmology performed in Frankfurt. The document underscores the integration of cutting-edge research with patient care, demonstrating how Frankfurt-based ophthalmologists contribute to global medical knowledge while serving the local population with state-of-the-art treatments.</w:t>
      </w:r>
    </w:p>
    <w:p>
      <w:pPr>
        <w:pStyle w:val="BodyText"/>
      </w:pPr>
      <w:r>
        <w:t xml:space="preserve">Deutsche Ophthalmologische Gesellschaft (DOG). (2022).</w:t>
      </w:r>
      <w:r>
        <w:t xml:space="preserve"> </w:t>
      </w:r>
      <w:r>
        <w:rPr>
          <w:iCs/>
          <w:i/>
        </w:rPr>
        <w:t xml:space="preserve">S3-Leitlinie: Diagnostik und Therapie der Glaukom</w:t>
      </w:r>
      <w:r>
        <w:t xml:space="preserve"> </w:t>
      </w:r>
      <w:r>
        <w:t xml:space="preserve">[S3 Guideline: Diagnosis and Therapy of Glaucoma]. Berlin: DOG.</w:t>
      </w:r>
    </w:p>
    <w:p>
      <w:pPr>
        <w:pStyle w:val="BodyText"/>
      </w:pPr>
      <w:r>
        <w:t xml:space="preserve">This guideline establishes the standard of care for glaucoma management in Germany. It is widely adopted by ophthalmologists in Frankfurt, influencing diagnostic protocols and treatment plans in both university clinics and private practices. The document emphasizes early detection and personalized therapy, reflecting the high level of specialization available in Frankfurt. It serves as a benchmark for evaluating the quality of ophthalmological care provided in the region.</w:t>
      </w:r>
    </w:p>
    <w:bookmarkEnd w:id="21"/>
    <w:bookmarkStart w:id="22" w:name="public-health-and-patient-care"/>
    <w:p>
      <w:pPr>
        <w:pStyle w:val="Heading2"/>
      </w:pPr>
      <w:r>
        <w:t xml:space="preserve">Public Health and Patient Care</w:t>
      </w:r>
    </w:p>
    <w:p>
      <w:pPr>
        <w:pStyle w:val="FirstParagraph"/>
      </w:pPr>
      <w:r>
        <w:t xml:space="preserve">Robert Koch-Institut (RKI). (2023).</w:t>
      </w:r>
      <w:r>
        <w:t xml:space="preserve"> </w:t>
      </w:r>
      <w:r>
        <w:rPr>
          <w:iCs/>
          <w:i/>
        </w:rPr>
        <w:t xml:space="preserve">Erblindung und Sehbehinderung in Deutschland: Epidemiologische Daten und Präventionsstrategien</w:t>
      </w:r>
      <w:r>
        <w:t xml:space="preserve"> </w:t>
      </w:r>
      <w:r>
        <w:t xml:space="preserve">[Blindness and Visual Impairment in Germany: Epidemiological Data and Prevention Strategies]. Berlin: RKI.</w:t>
      </w:r>
    </w:p>
    <w:p>
      <w:pPr>
        <w:pStyle w:val="BodyText"/>
      </w:pPr>
      <w:r>
        <w:t xml:space="preserve">This report provides national data on visual impairment, with specific insights applicable to urban centers like Frankfurt. It discusses the prevalence of age-related macular degeneration, diabetic retinopathy, and cataracts. For ophthalmologists in Frankfurt, this data informs public health initiatives and screening programs. It highlights the importance of preventive care and the role of ophthalmologists in reducing the burden of visual impairment among Germany's aging population.</w:t>
      </w:r>
    </w:p>
    <w:p>
      <w:pPr>
        <w:pStyle w:val="BodyText"/>
      </w:pPr>
      <w:r>
        <w:t xml:space="preserve">Gesundheitsamt Frankfurt am Main. (2024).</w:t>
      </w:r>
      <w:r>
        <w:t xml:space="preserve"> </w:t>
      </w:r>
      <w:r>
        <w:rPr>
          <w:iCs/>
          <w:i/>
        </w:rPr>
        <w:t xml:space="preserve">Augengesundheit im urbanen Raum: Herausforderungen und Lösungsansätze</w:t>
      </w:r>
      <w:r>
        <w:t xml:space="preserve"> </w:t>
      </w:r>
      <w:r>
        <w:t xml:space="preserve">[Eye Health in Urban Areas: Challenges and Solutions]. Frankfurt: City Health Department.</w:t>
      </w:r>
    </w:p>
    <w:p>
      <w:pPr>
        <w:pStyle w:val="BodyText"/>
      </w:pPr>
      <w:r>
        <w:t xml:space="preserve">This local report addresses the unique challenges of eye health in a metropolitan environment like Frankfurt. It discusses issues such as digital eye strain, environmental factors, and access to specialized care for diverse populations. The document provides valuable context for ophthalmologists working in Frankfurt, offering insights into community needs and potential areas for public health intervention. It also highlights collaborations between local clinics and the city's health department.</w:t>
      </w:r>
    </w:p>
    <w:bookmarkEnd w:id="22"/>
    <w:bookmarkStart w:id="23" w:name="Xf24c6459db6ac1df15517e0e52c1b660c9c89a0"/>
    <w:p>
      <w:pPr>
        <w:pStyle w:val="Heading2"/>
      </w:pPr>
      <w:r>
        <w:t xml:space="preserve">Technological Advancements and Innovation</w:t>
      </w:r>
    </w:p>
    <w:p>
      <w:pPr>
        <w:pStyle w:val="FirstParagraph"/>
      </w:pPr>
      <w:r>
        <w:t xml:space="preserve">Alcon Deutschland GmbH. (2023).</w:t>
      </w:r>
      <w:r>
        <w:t xml:space="preserve"> </w:t>
      </w:r>
      <w:r>
        <w:rPr>
          <w:iCs/>
          <w:i/>
        </w:rPr>
        <w:t xml:space="preserve">Fortbildungskatalog für Augenärzte: Neue Technologien in der Refraktionschirurgie</w:t>
      </w:r>
      <w:r>
        <w:t xml:space="preserve"> </w:t>
      </w:r>
      <w:r>
        <w:t xml:space="preserve">[Training Catalog for Ophthalmologists: New Technologies in Refractive Surgery]. Düsseldorf: Alcon.</w:t>
      </w:r>
    </w:p>
    <w:p>
      <w:pPr>
        <w:pStyle w:val="BodyText"/>
      </w:pPr>
      <w:r>
        <w:t xml:space="preserve">This catalog outlines the latest advancements in refractive surgery, including LASIK and SMILE procedures, which are widely performed by ophthalmologists in Frankfurt. It provides technical details on new laser systems and surgical techniques, reflecting the high level of technological adoption in German ophthalmology. The document is relevant for understanding the competitive landscape of private ophthalmology clinics in Frankfurt, which often market these advanced procedures to patients seeking vision correction.</w:t>
      </w:r>
    </w:p>
    <w:p>
      <w:pPr>
        <w:pStyle w:val="BodyText"/>
      </w:pPr>
      <w:r>
        <w:t xml:space="preserve">European Society of Cataract and Refractive Surgeons (ESCRS). (2024).</w:t>
      </w:r>
      <w:r>
        <w:t xml:space="preserve"> </w:t>
      </w:r>
      <w:r>
        <w:rPr>
          <w:iCs/>
          <w:i/>
        </w:rPr>
        <w:t xml:space="preserve">Annual Congress Proceedings: Innovations in Cataract Surgery</w:t>
      </w:r>
      <w:r>
        <w:t xml:space="preserve">. Vienna: ESCRS.</w:t>
      </w:r>
    </w:p>
    <w:p>
      <w:pPr>
        <w:pStyle w:val="BodyText"/>
      </w:pPr>
      <w:r>
        <w:t xml:space="preserve">While not specific to Frankfurt, this publication is highly relevant as many Frankfurt-based ophthalmologists participate in and present at this congress. It showcases the latest research and techniques in cataract surgery, a common procedure in Germany. The document highlights the international collaboration and continuous professional development that characterize the ophthalmology community in Frankfurt, ensuring that local practices remain at the forefront of global medical standards.</w:t>
      </w:r>
    </w:p>
    <w:bookmarkEnd w:id="23"/>
    <w:bookmarkStart w:id="24" w:name="conclusion"/>
    <w:p>
      <w:pPr>
        <w:pStyle w:val="Heading2"/>
      </w:pPr>
      <w:r>
        <w:t xml:space="preserve">Conclusion</w:t>
      </w:r>
    </w:p>
    <w:p>
      <w:pPr>
        <w:pStyle w:val="FirstParagraph"/>
      </w:pPr>
      <w:r>
        <w:t xml:space="preserve">This annotated bibliography provides a comprehensive overview of the ophthalmology landscape in Frankfurt, Germany. It covers regulatory standards, clinical practices, public health considerations, and technological advancements. These resources collectively illustrate the high level of expertise, infrastructure, and innovation available to patients seeking ophthalmological care in Frankfurt. They also serve as valuable references for professionals and researchers interested in the German healthcare system and its approach to eye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Frankfurt, Germany</dc:title>
  <dc:creator/>
  <dc:language>en</dc:language>
  <cp:keywords/>
  <dcterms:created xsi:type="dcterms:W3CDTF">2026-08-07T11:19:42Z</dcterms:created>
  <dcterms:modified xsi:type="dcterms:W3CDTF">2026-08-07T11:19:42Z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