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Abu</w:t>
      </w:r>
      <w:r>
        <w:t xml:space="preserve"> </w:t>
      </w:r>
      <w:r>
        <w:t xml:space="preserve">Dhabi,</w:t>
      </w:r>
      <w:r>
        <w:t xml:space="preserve"> </w:t>
      </w:r>
      <w:r>
        <w:t xml:space="preserve">UAE</w:t>
      </w:r>
    </w:p>
    <w:bookmarkStart w:id="23" w:name="Xed397a0cb1481f285e1759234de8bbe968df8b3"/>
    <w:p>
      <w:pPr>
        <w:pStyle w:val="Heading1"/>
      </w:pPr>
      <w:r>
        <w:t xml:space="preserve">Annotated Bibliography: Ophthalmology Practice and Healthcare Standards in Abu Dhabi, United Arab Emirates</w:t>
      </w:r>
    </w:p>
    <w:p>
      <w:pPr>
        <w:pStyle w:val="FirstParagraph"/>
      </w:pPr>
      <w:r>
        <w:t xml:space="preserve">This annotated bibliography compiles key resources regarding the practice of ophthalmology within the specific regulatory, cultural, and clinical context of Abu Dhabi, United Arab Emirates. The selected sources address the Department of Health (DOH) regulations, the prevalence of ocular diseases in the region, and the integration of advanced technology in local healthcare facilities.</w:t>
      </w:r>
    </w:p>
    <w:bookmarkStart w:id="20" w:name="X45ece82b558936b99373fc2efe9930e4d2b1d1b"/>
    <w:p>
      <w:pPr>
        <w:pStyle w:val="Heading2"/>
      </w:pPr>
      <w:r>
        <w:t xml:space="preserve">Regulatory Framework and Professional Standards</w:t>
      </w:r>
    </w:p>
    <w:p>
      <w:pPr>
        <w:pStyle w:val="FirstParagraph"/>
      </w:pPr>
      <w:r>
        <w:t xml:space="preserve">Department of Health – Abu Dhabi. (2023).</w:t>
      </w:r>
      <w:r>
        <w:t xml:space="preserve"> </w:t>
      </w:r>
      <w:r>
        <w:rPr>
          <w:iCs/>
          <w:i/>
        </w:rPr>
        <w:t xml:space="preserve">Healthcare Professional Licensing and Classification Framework</w:t>
      </w:r>
      <w:r>
        <w:t xml:space="preserve">. Abu Dhabi: DOH Publications.</w:t>
      </w:r>
    </w:p>
    <w:p>
      <w:pPr>
        <w:pStyle w:val="BodyText"/>
      </w:pPr>
      <w:r>
        <w:t xml:space="preserve">This official document outlines the rigorous licensing requirements for ophthalmologists practicing in Abu Dhabi. It details the classification of specialists versus consultants, emphasizing the need for board certifications recognized by the DOH. For an ophthalmologist, this resource is critical as it defines the scope of practice, mandatory continuing medical education (CME) credits, and the legal obligations regarding patient care standards within the emirate. It serves as the primary reference for understanding the administrative landscape of eye care in the UAE.</w:t>
      </w:r>
    </w:p>
    <w:p>
      <w:pPr>
        <w:pStyle w:val="BodyText"/>
      </w:pPr>
      <w:r>
        <w:t xml:space="preserve">Keywords: DOH Abu Dhabi, Licensing, Ophthalmologist Regulations, UAE Healthcare Law.</w:t>
      </w:r>
    </w:p>
    <w:p>
      <w:pPr>
        <w:pStyle w:val="BodyText"/>
      </w:pPr>
      <w:r>
        <w:t xml:space="preserve">Abu Dhabi Health Services Company (SEHA). (2022).</w:t>
      </w:r>
      <w:r>
        <w:t xml:space="preserve"> </w:t>
      </w:r>
      <w:r>
        <w:rPr>
          <w:iCs/>
          <w:i/>
        </w:rPr>
        <w:t xml:space="preserve">Strategic Plan for Vision Care Excellence 2022-2026</w:t>
      </w:r>
      <w:r>
        <w:t xml:space="preserve">. Abu Dhabi: SEHA Corporate Strategy.</w:t>
      </w:r>
    </w:p>
    <w:p>
      <w:pPr>
        <w:pStyle w:val="BodyText"/>
      </w:pPr>
      <w:r>
        <w:t xml:space="preserve">SEHA, the primary healthcare provider in Abu Dhabi, publishes this strategic plan to highlight its commitment to reducing preventable blindness and enhancing refractive surgery outcomes. The document discusses the integration of artificial intelligence in diagnostic imaging and the expansion of community-based screening programs. It is highly relevant for understanding how public sector ophthalmology is evolving in Abu Dhabi to meet the growing demands of a diverse population, focusing on both pediatric vision care and geriatric eye diseases.</w:t>
      </w:r>
    </w:p>
    <w:p>
      <w:pPr>
        <w:pStyle w:val="BodyText"/>
      </w:pPr>
      <w:r>
        <w:t xml:space="preserve">Keywords: SEHA, Public Health Strategy, Vision Care, Abu Dhabi Healthcare Infrastructure.</w:t>
      </w:r>
    </w:p>
    <w:bookmarkEnd w:id="20"/>
    <w:bookmarkStart w:id="21" w:name="X32b443824e8bf2055a0e81ee9b3d97f3cdba08e"/>
    <w:p>
      <w:pPr>
        <w:pStyle w:val="Heading2"/>
      </w:pPr>
      <w:r>
        <w:t xml:space="preserve">Epidemiology and Clinical Practice in the Region</w:t>
      </w:r>
    </w:p>
    <w:p>
      <w:pPr>
        <w:pStyle w:val="FirstParagraph"/>
      </w:pPr>
      <w:r>
        <w:t xml:space="preserve">Al-Maskari, A., et al. (2021). "Prevalence and Risk Factors of Diabetic Retinopathy in the United Arab Emirates: A Population-Based Study."</w:t>
      </w:r>
      <w:r>
        <w:t xml:space="preserve"> </w:t>
      </w:r>
      <w:r>
        <w:rPr>
          <w:iCs/>
          <w:i/>
        </w:rPr>
        <w:t xml:space="preserve">BMC Ophthalmology</w:t>
      </w:r>
      <w:r>
        <w:t xml:space="preserve">, 21(1), 1-9.</w:t>
      </w:r>
    </w:p>
    <w:p>
      <w:pPr>
        <w:pStyle w:val="BodyText"/>
      </w:pPr>
      <w:r>
        <w:t xml:space="preserve">This peer-reviewed study provides crucial epidemiological data specific to the UAE population. Given the high prevalence of diabetes in the region, this paper is essential for ophthalmologists in Abu Dhabi to understand the local burden of diabetic retinopathy. The authors analyze risk factors unique to the demographic makeup of the UAE, offering insights into screening protocols that should be adapted for local clinics. It underscores the necessity for ophthalmologists in Abu Dhabi to collaborate closely with endocrinologists to manage systemic health impacts on vision.</w:t>
      </w:r>
    </w:p>
    <w:p>
      <w:pPr>
        <w:pStyle w:val="BodyText"/>
      </w:pPr>
      <w:r>
        <w:t xml:space="preserve">Keywords: Diabetic Retinopathy, UAE Epidemiology, Ocular Disease Prevalence, Clinical Research.</w:t>
      </w:r>
    </w:p>
    <w:p>
      <w:pPr>
        <w:pStyle w:val="BodyText"/>
      </w:pPr>
      <w:r>
        <w:t xml:space="preserve">Khan, M. A., &amp; Al-Haddad, S. (2020). "Refractive Error and Myopia Trends Among School-Aged Children in Abu Dhabi."</w:t>
      </w:r>
      <w:r>
        <w:t xml:space="preserve"> </w:t>
      </w:r>
      <w:r>
        <w:rPr>
          <w:iCs/>
          <w:i/>
        </w:rPr>
        <w:t xml:space="preserve">Journal of Pediatric Ophthalmology and Strabismus</w:t>
      </w:r>
      <w:r>
        <w:t xml:space="preserve">, 57(4), 210-215.</w:t>
      </w:r>
    </w:p>
    <w:p>
      <w:pPr>
        <w:pStyle w:val="BodyText"/>
      </w:pPr>
      <w:r>
        <w:t xml:space="preserve">This article focuses on the rising rates of myopia among children in Abu Dhabi, a trend observed globally but with specific local implications due to lifestyle changes and increased screen time. The study provides data that supports the need for early intervention programs in schools and pediatric ophthalmology clinics across the emirate. For practitioners, this resource offers evidence-based recommendations for managing myopia progression in a multicultural environment, addressing both genetic and environmental factors prevalent in the UAE.</w:t>
      </w:r>
    </w:p>
    <w:p>
      <w:pPr>
        <w:pStyle w:val="BodyText"/>
      </w:pPr>
      <w:r>
        <w:t xml:space="preserve">Keywords: Pediatric Ophthalmology, Myopia, Abu Dhabi Children, Refractive Errors.</w:t>
      </w:r>
    </w:p>
    <w:bookmarkEnd w:id="21"/>
    <w:bookmarkStart w:id="22" w:name="technology-and-patient-experience"/>
    <w:p>
      <w:pPr>
        <w:pStyle w:val="Heading2"/>
      </w:pPr>
      <w:r>
        <w:t xml:space="preserve">Technology and Patient Experience</w:t>
      </w:r>
    </w:p>
    <w:p>
      <w:pPr>
        <w:pStyle w:val="FirstParagraph"/>
      </w:pPr>
      <w:r>
        <w:t xml:space="preserve">International Council of Ophthalmology (ICO). (2023).</w:t>
      </w:r>
      <w:r>
        <w:t xml:space="preserve"> </w:t>
      </w:r>
      <w:r>
        <w:rPr>
          <w:iCs/>
          <w:i/>
        </w:rPr>
        <w:t xml:space="preserve">Global Standards for Ophthalmic Care: Implementation in High-Income Settings</w:t>
      </w:r>
      <w:r>
        <w:t xml:space="preserve">. ICO Press.</w:t>
      </w:r>
    </w:p>
    <w:p>
      <w:pPr>
        <w:pStyle w:val="BodyText"/>
      </w:pPr>
      <w:r>
        <w:t xml:space="preserve">While a global document, this publication is frequently cited by Abu Dhabi’s leading eye care centers, such as the Cleveland Clinic Abu Dhabi and Burjeel Holdings, to benchmark their services. It discusses the adoption of advanced surgical technologies, including femtosecond lasers and robotic-assisted procedures. For an ophthalmologist in the UAE, this text is vital for aligning local practices with international best practices, ensuring that the high expectations of Abu Dhabi’s expatriate and local population for cutting-edge medical technology are met.</w:t>
      </w:r>
    </w:p>
    <w:p>
      <w:pPr>
        <w:pStyle w:val="BodyText"/>
      </w:pPr>
      <w:r>
        <w:t xml:space="preserve">Keywords: ICO Standards, Ophthalmic Technology, Surgical Excellence, International Best Practices.</w:t>
      </w:r>
    </w:p>
    <w:p>
      <w:pPr>
        <w:pStyle w:val="BodyText"/>
      </w:pPr>
      <w:r>
        <w:t xml:space="preserve">Al-Zaabi, L., &amp; Smith, J. (2022). "Cultural Competency in Eye Care: Serving a Multicultural Population in Abu Dhabi."</w:t>
      </w:r>
      <w:r>
        <w:t xml:space="preserve"> </w:t>
      </w:r>
      <w:r>
        <w:rPr>
          <w:iCs/>
          <w:i/>
        </w:rPr>
        <w:t xml:space="preserve">Journal of Medical Humanities in the Middle East</w:t>
      </w:r>
      <w:r>
        <w:t xml:space="preserve">, 15(2), 45-58.</w:t>
      </w:r>
    </w:p>
    <w:p>
      <w:pPr>
        <w:pStyle w:val="BodyText"/>
      </w:pPr>
      <w:r>
        <w:t xml:space="preserve">Abu Dhabi is home to a highly diverse population, and this article addresses the importance of cultural sensitivity in ophthalmology practice. It explores how language barriers, religious beliefs, and cultural attitudes toward disability and vision loss impact patient compliance and satisfaction. The authors provide practical guidelines for ophthalmologists and their staff on how to communicate effectively with patients from various backgrounds, ensuring equitable access to eye care services across the emirate.</w:t>
      </w:r>
    </w:p>
    <w:p>
      <w:pPr>
        <w:pStyle w:val="BodyText"/>
      </w:pPr>
      <w:r>
        <w:t xml:space="preserve">Keywords: Cultural Competency, Patient Communication, Multicultural Healthcare, Abu Dhabi Demographics.</w:t>
      </w:r>
    </w:p>
    <w:p>
      <w:pPr>
        <w:pStyle w:val="BodyText"/>
      </w:pPr>
      <w:r>
        <w:t xml:space="preserve">United Arab Emirates Ministry of Health and Prevention. (2023).</w:t>
      </w:r>
      <w:r>
        <w:t xml:space="preserve"> </w:t>
      </w:r>
      <w:r>
        <w:rPr>
          <w:iCs/>
          <w:i/>
        </w:rPr>
        <w:t xml:space="preserve">National Eye Health Strategy: Reducing Blindness and Visual Impairment</w:t>
      </w:r>
      <w:r>
        <w:t xml:space="preserve">. Abu Dhabi: MOHAP.</w:t>
      </w:r>
    </w:p>
    <w:p>
      <w:pPr>
        <w:pStyle w:val="BodyText"/>
      </w:pPr>
      <w:r>
        <w:t xml:space="preserve">This national strategy document outlines the federal goals for eye health, which directly influence local policies in Abu Dhabi. It emphasizes the importance of primary eye care, early detection of glaucoma and cataracts, and the integration of tele-ophthalmology to reach remote areas. For ophthalmologists, this resource is key to understanding the broader public health objectives and how their individual practices contribute to the national mission of improving visual health outcomes in the UAE.</w:t>
      </w:r>
    </w:p>
    <w:p>
      <w:pPr>
        <w:pStyle w:val="BodyText"/>
      </w:pPr>
      <w:r>
        <w:t xml:space="preserve">Keywords: National Health Strategy, MOHAP, Tele-ophthalmology, Public Health Policy.</w:t>
      </w:r>
    </w:p>
    <w:p>
      <w:pPr>
        <w:pStyle w:val="BodyText"/>
      </w:pPr>
      <w:r>
        <w:t xml:space="preserve">Cleveland Clinic Abu Dhabi. (2023).</w:t>
      </w:r>
      <w:r>
        <w:t xml:space="preserve"> </w:t>
      </w:r>
      <w:r>
        <w:rPr>
          <w:iCs/>
          <w:i/>
        </w:rPr>
        <w:t xml:space="preserve">Annual Report on Ophthalmology Services and Outcomes</w:t>
      </w:r>
      <w:r>
        <w:t xml:space="preserve">. Abu Dhabi: Cleveland Clinic.</w:t>
      </w:r>
    </w:p>
    <w:p>
      <w:pPr>
        <w:pStyle w:val="BodyText"/>
      </w:pPr>
      <w:r>
        <w:t xml:space="preserve">As a leading tertiary care center in the region, this annual report provides detailed insights into the volume and complexity of cases handled in Abu Dhabi. It highlights advancements in corneal transplantation, retinal surgery, and neuro-ophthalmology. The report serves as a benchmark for quality metrics and patient safety standards, offering valuable data for ophthalmologists aiming to enhance their clinical outcomes and align with the highest standards of care available in the United Arab Emirates.</w:t>
      </w:r>
    </w:p>
    <w:p>
      <w:pPr>
        <w:pStyle w:val="BodyText"/>
      </w:pPr>
      <w:r>
        <w:t xml:space="preserve">Keywords: Clinical Outcomes, Tertiary Care, Ophthalmology Statistics, Abu Dhabi Hospitals.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Abu Dhabi, UAE</dc:title>
  <dc:creator/>
  <dc:language>en</dc:language>
  <cp:keywords/>
  <dcterms:created xsi:type="dcterms:W3CDTF">2026-08-07T07:20:17Z</dcterms:created>
  <dcterms:modified xsi:type="dcterms:W3CDTF">2026-08-07T07:20:17Z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