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Frankfurt,</w:t>
      </w:r>
      <w:r>
        <w:t xml:space="preserve"> </w:t>
      </w:r>
      <w:r>
        <w:t xml:space="preserve">Germany</w:t>
      </w:r>
    </w:p>
    <w:bookmarkStart w:id="23" w:name="X13955d85faafbfe0d0a1dc221583ce20dd3f192"/>
    <w:p>
      <w:pPr>
        <w:pStyle w:val="Heading1"/>
      </w:pPr>
      <w:r>
        <w:t xml:space="preserve">Annotated Bibliography: The Role of the Optometrist in Frankfurt, Germany</w:t>
      </w:r>
    </w:p>
    <w:p>
      <w:pPr>
        <w:pStyle w:val="FirstParagraph"/>
      </w:pPr>
      <w:r>
        <w:t xml:space="preserve">This annotated bibliography provides a comprehensive overview of the professional landscape, regulatory framework, and clinical scope of the</w:t>
      </w:r>
      <w:r>
        <w:t xml:space="preserve"> </w:t>
      </w:r>
      <w:r>
        <w:rPr>
          <w:bCs/>
          <w:b/>
        </w:rPr>
        <w:t xml:space="preserve">Optometrist</w:t>
      </w:r>
      <w:r>
        <w:t xml:space="preserve"> </w:t>
      </w:r>
      <w:r>
        <w:t xml:space="preserve">within the specific context of</w:t>
      </w:r>
      <w:r>
        <w:t xml:space="preserve"> </w:t>
      </w:r>
      <w:r>
        <w:rPr>
          <w:bCs/>
          <w:b/>
        </w:rPr>
        <w:t xml:space="preserve">Germany</w:t>
      </w:r>
      <w:r>
        <w:t xml:space="preserve">, with a focused emphasis on the metropolitan region of</w:t>
      </w:r>
      <w:r>
        <w:t xml:space="preserve"> </w:t>
      </w:r>
      <w:r>
        <w:rPr>
          <w:bCs/>
          <w:b/>
        </w:rPr>
        <w:t xml:space="preserve">Frankfurt am Main</w:t>
      </w:r>
      <w:r>
        <w:t xml:space="preserve">. The following entries examine the distinction between the German "Optiker" and the clinical optometrist, the impact of the European Directive on the recognition of professional qualifications, and the specific healthcare demands of Frankfurt's diverse, international population.</w:t>
      </w:r>
    </w:p>
    <w:bookmarkStart w:id="20" w:name="Xb49316309f4f2126cfaf0201866375660af1d16"/>
    <w:p>
      <w:pPr>
        <w:pStyle w:val="Heading2"/>
      </w:pPr>
      <w:r>
        <w:t xml:space="preserve">Regulatory Framework and Professional Definition</w:t>
      </w:r>
    </w:p>
    <w:p>
      <w:pPr>
        <w:pStyle w:val="FirstParagraph"/>
      </w:pPr>
      <w:r>
        <w:t xml:space="preserve">Bundesministerium für Justiz und Verbraucherschutz. (2021).</w:t>
      </w:r>
      <w:r>
        <w:t xml:space="preserve"> </w:t>
      </w:r>
      <w:r>
        <w:rPr>
          <w:iCs/>
          <w:i/>
        </w:rPr>
        <w:t xml:space="preserve">Optikergesetz (OptG) - Law on the Profession of Opticians</w:t>
      </w:r>
      <w:r>
        <w:t xml:space="preserve">. Berlin: Federal Ministry of Justice and Consumer Protection.</w:t>
      </w:r>
    </w:p>
    <w:p>
      <w:pPr>
        <w:pStyle w:val="BodyText"/>
      </w:pPr>
      <w:r>
        <w:t xml:space="preserve">This primary legal text is fundamental to understanding the scope of practice for vision care professionals in Germany. The</w:t>
      </w:r>
      <w:r>
        <w:t xml:space="preserve"> </w:t>
      </w:r>
      <w:r>
        <w:rPr>
          <w:iCs/>
          <w:i/>
        </w:rPr>
        <w:t xml:space="preserve">Optikergesetz</w:t>
      </w:r>
      <w:r>
        <w:t xml:space="preserve"> </w:t>
      </w:r>
      <w:r>
        <w:t xml:space="preserve">strictly defines the activities permitted to an</w:t>
      </w:r>
      <w:r>
        <w:t xml:space="preserve"> </w:t>
      </w:r>
      <w:r>
        <w:rPr>
          <w:bCs/>
          <w:b/>
        </w:rPr>
        <w:t xml:space="preserve">Optometrist</w:t>
      </w:r>
      <w:r>
        <w:t xml:space="preserve"> </w:t>
      </w:r>
      <w:r>
        <w:t xml:space="preserve">(often legally categorized under the umbrella of the "Optiker" with advanced qualifications). It delineates the boundary between simple lens dispensing and clinical eye examinations. For a practitioner operating in</w:t>
      </w:r>
      <w:r>
        <w:t xml:space="preserve"> </w:t>
      </w:r>
      <w:r>
        <w:rPr>
          <w:bCs/>
          <w:b/>
        </w:rPr>
        <w:t xml:space="preserve">Frankfurt</w:t>
      </w:r>
      <w:r>
        <w:t xml:space="preserve">, this law is critical as it mandates that while an optometrist can perform refraction and contact lens fittings, they cannot diagnose medical eye diseases (such as glaucoma or macular degeneration) in the same capacity as a medical doctor (</w:t>
      </w:r>
      <w:r>
        <w:rPr>
          <w:iCs/>
          <w:i/>
        </w:rPr>
        <w:t xml:space="preserve">Augenarzt</w:t>
      </w:r>
      <w:r>
        <w:t xml:space="preserve">). This document is essential for establishing the legal boundaries of independent practice in the German healthcare system.</w:t>
      </w:r>
    </w:p>
    <w:p>
      <w:pPr>
        <w:pStyle w:val="BodyText"/>
      </w:pPr>
      <w:r>
        <w:t xml:space="preserve">European Commission. (2013).</w:t>
      </w:r>
      <w:r>
        <w:t xml:space="preserve"> </w:t>
      </w:r>
      <w:r>
        <w:rPr>
          <w:iCs/>
          <w:i/>
        </w:rPr>
        <w:t xml:space="preserve">Directive 2013/55/EU amending Directive 2005/36/EC on the recognition of professional qualifications</w:t>
      </w:r>
      <w:r>
        <w:t xml:space="preserve">. Official Journal of the European Union.</w:t>
      </w:r>
    </w:p>
    <w:p>
      <w:pPr>
        <w:pStyle w:val="BodyText"/>
      </w:pPr>
      <w:r>
        <w:t xml:space="preserve">This directive is pivotal for the integration of international</w:t>
      </w:r>
      <w:r>
        <w:t xml:space="preserve"> </w:t>
      </w:r>
      <w:r>
        <w:rPr>
          <w:bCs/>
          <w:b/>
        </w:rPr>
        <w:t xml:space="preserve">Optometrists</w:t>
      </w:r>
      <w:r>
        <w:t xml:space="preserve"> </w:t>
      </w:r>
      <w:r>
        <w:t xml:space="preserve">into the German workforce. Frankfurt, being a major financial hub and home to the European Central Bank, hosts a transient, international population. This directive facilitates the recognition of optometric qualifications obtained in other EU member states. The document outlines the procedures for automatic recognition of titles, which is crucial for foreign-trained optometrists seeking to practice in</w:t>
      </w:r>
      <w:r>
        <w:t xml:space="preserve"> </w:t>
      </w:r>
      <w:r>
        <w:rPr>
          <w:bCs/>
          <w:b/>
        </w:rPr>
        <w:t xml:space="preserve">Germany</w:t>
      </w:r>
      <w:r>
        <w:t xml:space="preserve">. It highlights the ongoing tension between harmonizing EU standards and maintaining the strict, medically-oriented German model of eye care.</w:t>
      </w:r>
    </w:p>
    <w:bookmarkEnd w:id="20"/>
    <w:bookmarkStart w:id="21" w:name="clinical-scope-and-public-health"/>
    <w:p>
      <w:pPr>
        <w:pStyle w:val="Heading2"/>
      </w:pPr>
      <w:r>
        <w:t xml:space="preserve">Clinical Scope and Public Health</w:t>
      </w:r>
    </w:p>
    <w:p>
      <w:pPr>
        <w:pStyle w:val="FirstParagraph"/>
      </w:pPr>
      <w:r>
        <w:t xml:space="preserve">Deutsche Ophthalmologische Gesellschaft (DOG). (2022).</w:t>
      </w:r>
      <w:r>
        <w:t xml:space="preserve"> </w:t>
      </w:r>
      <w:r>
        <w:rPr>
          <w:iCs/>
          <w:i/>
        </w:rPr>
        <w:t xml:space="preserve">Guidelines for the Early Detection of Glaucoma and Diabetic Retinopathy</w:t>
      </w:r>
      <w:r>
        <w:t xml:space="preserve">. Berlin: DOG Press.</w:t>
      </w:r>
    </w:p>
    <w:p>
      <w:pPr>
        <w:pStyle w:val="BodyText"/>
      </w:pPr>
      <w:r>
        <w:t xml:space="preserve">While the</w:t>
      </w:r>
      <w:r>
        <w:t xml:space="preserve"> </w:t>
      </w:r>
      <w:r>
        <w:rPr>
          <w:bCs/>
          <w:b/>
        </w:rPr>
        <w:t xml:space="preserve">Optometrist</w:t>
      </w:r>
      <w:r>
        <w:t xml:space="preserve"> </w:t>
      </w:r>
      <w:r>
        <w:t xml:space="preserve">in Germany is distinct from the ophthalmologist, this guideline document by the German Ophthalmological Society is vital for understanding the collaborative care model. It details the referral pathways that optometrists in</w:t>
      </w:r>
      <w:r>
        <w:t xml:space="preserve"> </w:t>
      </w:r>
      <w:r>
        <w:rPr>
          <w:bCs/>
          <w:b/>
        </w:rPr>
        <w:t xml:space="preserve">Frankfurt</w:t>
      </w:r>
      <w:r>
        <w:t xml:space="preserve"> </w:t>
      </w:r>
      <w:r>
        <w:t xml:space="preserve">must utilize. Given the high prevalence of diabetes and aging demographics in urban centers like Frankfurt, this text underscores the optometrist's role as a primary screener. It emphasizes that while the optometrist cannot treat these conditions, their ability to detect early signs is a critical public health intervention. This source is essential for defining the "screening vs. diagnosing" dynamic in German optometry.</w:t>
      </w:r>
    </w:p>
    <w:p>
      <w:pPr>
        <w:pStyle w:val="BodyText"/>
      </w:pPr>
      <w:r>
        <w:t xml:space="preserve">Bundesärztekammer (BÄK). (2020).</w:t>
      </w:r>
      <w:r>
        <w:t xml:space="preserve"> </w:t>
      </w:r>
      <w:r>
        <w:rPr>
          <w:iCs/>
          <w:i/>
        </w:rPr>
        <w:t xml:space="preserve">Standards for Contact Lens Fitting and Ocular Health Assessment</w:t>
      </w:r>
      <w:r>
        <w:t xml:space="preserve">. Cologne: German Medical Association.</w:t>
      </w:r>
    </w:p>
    <w:p>
      <w:pPr>
        <w:pStyle w:val="BodyText"/>
      </w:pPr>
      <w:r>
        <w:t xml:space="preserve">This document provides the clinical standards for contact lens practice in</w:t>
      </w:r>
      <w:r>
        <w:t xml:space="preserve"> </w:t>
      </w:r>
      <w:r>
        <w:rPr>
          <w:bCs/>
          <w:b/>
        </w:rPr>
        <w:t xml:space="preserve">Germany</w:t>
      </w:r>
      <w:r>
        <w:t xml:space="preserve">. It is particularly relevant for optometrists in</w:t>
      </w:r>
      <w:r>
        <w:t xml:space="preserve"> </w:t>
      </w:r>
      <w:r>
        <w:rPr>
          <w:bCs/>
          <w:b/>
        </w:rPr>
        <w:t xml:space="preserve">Frankfurt</w:t>
      </w:r>
      <w:r>
        <w:t xml:space="preserve">, where the demand for cosmetic and therapeutic contact lenses is high due to the city's professional and youthful demographic. The text outlines the mandatory health checks required before fitting lenses, reinforcing the clinical responsibility of the optometrist. It serves as a benchmark for quality assurance, ensuring that optometrists adhere to rigorous safety protocols that protect the ocular health of patients, distinguishing professional practice from retail sales.</w:t>
      </w:r>
    </w:p>
    <w:bookmarkEnd w:id="21"/>
    <w:bookmarkStart w:id="22" w:name="X0e0eaecec00ef20cd0009835971d1c45237633f"/>
    <w:p>
      <w:pPr>
        <w:pStyle w:val="Heading2"/>
      </w:pPr>
      <w:r>
        <w:t xml:space="preserve">Market Dynamics and Demographics in Frankfurt</w:t>
      </w:r>
    </w:p>
    <w:p>
      <w:pPr>
        <w:pStyle w:val="FirstParagraph"/>
      </w:pPr>
      <w:r>
        <w:t xml:space="preserve">Statistisches Bundesamt (Destatis). (2023).</w:t>
      </w:r>
      <w:r>
        <w:t xml:space="preserve"> </w:t>
      </w:r>
      <w:r>
        <w:rPr>
          <w:iCs/>
          <w:i/>
        </w:rPr>
        <w:t xml:space="preserve">Healthcare Statistics: Vision Care and Demographic Shifts in Hesse</w:t>
      </w:r>
      <w:r>
        <w:t xml:space="preserve">. Wiesbaden: Federal Statistical Office.</w:t>
      </w:r>
    </w:p>
    <w:p>
      <w:pPr>
        <w:pStyle w:val="BodyText"/>
      </w:pPr>
      <w:r>
        <w:t xml:space="preserve">This statistical report offers quantitative data on the demand for vision care services in the state of Hesse, where</w:t>
      </w:r>
      <w:r>
        <w:t xml:space="preserve"> </w:t>
      </w:r>
      <w:r>
        <w:rPr>
          <w:bCs/>
          <w:b/>
        </w:rPr>
        <w:t xml:space="preserve">Frankfurt</w:t>
      </w:r>
      <w:r>
        <w:t xml:space="preserve"> </w:t>
      </w:r>
      <w:r>
        <w:t xml:space="preserve">is located. It highlights the increasing prevalence of myopia and presbyopia in the region. For an</w:t>
      </w:r>
      <w:r>
        <w:t xml:space="preserve"> </w:t>
      </w:r>
      <w:r>
        <w:rPr>
          <w:bCs/>
          <w:b/>
        </w:rPr>
        <w:t xml:space="preserve">Optometrist</w:t>
      </w:r>
      <w:r>
        <w:t xml:space="preserve"> </w:t>
      </w:r>
      <w:r>
        <w:t xml:space="preserve">planning to establish a practice in Frankfurt, this data is indispensable for market analysis. It reveals the growing need for specialized services, such as pediatric vision care and low-vision rehabilitation, driven by the city's diverse population structure. The report supports the argument that the role of the optometrist in Germany is evolving from a purely commercial role to a more clinical, service-oriented profession.</w:t>
      </w:r>
    </w:p>
    <w:p>
      <w:pPr>
        <w:pStyle w:val="BodyText"/>
      </w:pPr>
      <w:r>
        <w:t xml:space="preserve">Verband der Augenärzte Deutschland (VAD). (2021).</w:t>
      </w:r>
      <w:r>
        <w:t xml:space="preserve"> </w:t>
      </w:r>
      <w:r>
        <w:rPr>
          <w:iCs/>
          <w:i/>
        </w:rPr>
        <w:t xml:space="preserve">Report on the Collaboration Between Ophthalmologists and Optometrists</w:t>
      </w:r>
      <w:r>
        <w:t xml:space="preserve">. Berlin: VAD.</w:t>
      </w:r>
    </w:p>
    <w:p>
      <w:pPr>
        <w:pStyle w:val="BodyText"/>
      </w:pPr>
      <w:r>
        <w:t xml:space="preserve">This report addresses the professional relationship between medical doctors and optometrists in</w:t>
      </w:r>
      <w:r>
        <w:t xml:space="preserve"> </w:t>
      </w:r>
      <w:r>
        <w:rPr>
          <w:bCs/>
          <w:b/>
        </w:rPr>
        <w:t xml:space="preserve">Germany</w:t>
      </w:r>
      <w:r>
        <w:t xml:space="preserve">. In</w:t>
      </w:r>
      <w:r>
        <w:t xml:space="preserve"> </w:t>
      </w:r>
      <w:r>
        <w:rPr>
          <w:bCs/>
          <w:b/>
        </w:rPr>
        <w:t xml:space="preserve">Frankfurt</w:t>
      </w:r>
      <w:r>
        <w:t xml:space="preserve">, where major university hospitals (such as the University Hospital Frankfurt) are located, this collaboration is particularly intense. The document discusses the challenges and benefits of integrated care models. It is a key resource for understanding how optometrists can position themselves within the broader medical ecosystem. It argues for a clearer definition of the optometrist's scope to alleviate the burden on ophthalmologists, a pressing issue in high-density urban areas like Frankfurt.</w:t>
      </w:r>
    </w:p>
    <w:p>
      <w:pPr>
        <w:pStyle w:val="BodyText"/>
      </w:pPr>
      <w:r>
        <w:t xml:space="preserve">Kassenärztliche Vereinigung Hessen (KVH). (2022).</w:t>
      </w:r>
      <w:r>
        <w:t xml:space="preserve"> </w:t>
      </w:r>
      <w:r>
        <w:rPr>
          <w:iCs/>
          <w:i/>
        </w:rPr>
        <w:t xml:space="preserve">Reimbursement Guidelines for Vision Care Services</w:t>
      </w:r>
      <w:r>
        <w:t xml:space="preserve">. Frankfurt am Main: Association of Statutory Health Insurance Physicians Hesse.</w:t>
      </w:r>
    </w:p>
    <w:p>
      <w:pPr>
        <w:pStyle w:val="BodyText"/>
      </w:pPr>
      <w:r>
        <w:t xml:space="preserve">This is a critical administrative document for any</w:t>
      </w:r>
      <w:r>
        <w:t xml:space="preserve"> </w:t>
      </w:r>
      <w:r>
        <w:rPr>
          <w:bCs/>
          <w:b/>
        </w:rPr>
        <w:t xml:space="preserve">Optometrist</w:t>
      </w:r>
      <w:r>
        <w:t xml:space="preserve"> </w:t>
      </w:r>
      <w:r>
        <w:t xml:space="preserve">operating within the German statutory health insurance system (</w:t>
      </w:r>
      <w:r>
        <w:rPr>
          <w:iCs/>
          <w:i/>
        </w:rPr>
        <w:t xml:space="preserve">Gesetzliche Krankenversicherung</w:t>
      </w:r>
      <w:r>
        <w:t xml:space="preserve">). Based in</w:t>
      </w:r>
      <w:r>
        <w:t xml:space="preserve"> </w:t>
      </w:r>
      <w:r>
        <w:rPr>
          <w:bCs/>
          <w:b/>
        </w:rPr>
        <w:t xml:space="preserve">Frankfurt</w:t>
      </w:r>
      <w:r>
        <w:t xml:space="preserve">, the KVH sets the rules for which services are reimbursed. The document clarifies that while glasses are often partially subsidized, many advanced optometric services are considered private pay. Understanding these financial regulations is essential for business sustainability. It highlights the economic reality of the profession in Germany, where the optometrist must navigate a complex mix of public subsidies and private market services.</w:t>
      </w:r>
    </w:p>
    <w:p>
      <w:pPr>
        <w:pStyle w:val="BodyText"/>
      </w:pPr>
      <w:r>
        <w:t xml:space="preserve">International Council of Optometry and Optometry (ICOO). (2019).</w:t>
      </w:r>
      <w:r>
        <w:t xml:space="preserve"> </w:t>
      </w:r>
      <w:r>
        <w:rPr>
          <w:iCs/>
          <w:i/>
        </w:rPr>
        <w:t xml:space="preserve">Global Standards for Optometric Education and Practice</w:t>
      </w:r>
      <w:r>
        <w:t xml:space="preserve">. London: ICOO.</w:t>
      </w:r>
    </w:p>
    <w:p>
      <w:pPr>
        <w:pStyle w:val="BodyText"/>
      </w:pPr>
      <w:r>
        <w:t xml:space="preserve">This international standard serves as a comparative benchmark for the German system. It highlights the differences between the comprehensive care model found in countries like the UK or USA and the more restricted model in</w:t>
      </w:r>
      <w:r>
        <w:t xml:space="preserve"> </w:t>
      </w:r>
      <w:r>
        <w:rPr>
          <w:bCs/>
          <w:b/>
        </w:rPr>
        <w:t xml:space="preserve">Germany</w:t>
      </w:r>
      <w:r>
        <w:t xml:space="preserve">. For</w:t>
      </w:r>
      <w:r>
        <w:t xml:space="preserve"> </w:t>
      </w:r>
      <w:r>
        <w:rPr>
          <w:bCs/>
          <w:b/>
        </w:rPr>
        <w:t xml:space="preserve">Frankfurt</w:t>
      </w:r>
      <w:r>
        <w:t xml:space="preserve">, a global city, this document is relevant as it addresses the expectations of international residents who may be accustomed to a broader scope of practice for their optometrist. It provides a framework for advocating for the expansion of the optometrist's role in Germany to meet international standards of eye care accessibility.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Frankfurt, Germany</dc:title>
  <dc:creator/>
  <dc:language>en</dc:language>
  <cp:keywords/>
  <dcterms:created xsi:type="dcterms:W3CDTF">2026-08-07T02:15:21Z</dcterms:created>
  <dcterms:modified xsi:type="dcterms:W3CDTF">2026-08-07T02:15:21Z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