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Munich,</w:t>
      </w:r>
      <w:r>
        <w:t xml:space="preserve"> </w:t>
      </w:r>
      <w:r>
        <w:t xml:space="preserve">Germany</w:t>
      </w:r>
    </w:p>
    <w:bookmarkStart w:id="24" w:name="X1d880204a2bc3021049e7f62dc5a7b3e1479b98"/>
    <w:p>
      <w:pPr>
        <w:pStyle w:val="Heading1"/>
      </w:pPr>
      <w:r>
        <w:t xml:space="preserve">Annotated Bibliography: The Role and Regulation of the Optometrist in Munich, Germany</w:t>
      </w:r>
    </w:p>
    <w:p>
      <w:pPr>
        <w:pStyle w:val="FirstParagraph"/>
      </w:pPr>
      <w:r>
        <w:t xml:space="preserve">The following annotated bibliography provides a comprehensive overview of the professional landscape for optometrists operating within Munich, Germany. It addresses the specific legal frameworks, educational standards, and market dynamics unique to Bavaria's capital. This document is designed to assist professionals, students, and healthcare administrators in understanding the intersection of international optometric standards and the specific German healthcare system.</w:t>
      </w:r>
    </w:p>
    <w:bookmarkStart w:id="20" w:name="Xcc6e0d219342474c05e27e3f557fecff644a973"/>
    <w:p>
      <w:pPr>
        <w:pStyle w:val="Heading2"/>
      </w:pPr>
      <w:r>
        <w:t xml:space="preserve">Regulatory Framework and Professional Status</w:t>
      </w:r>
    </w:p>
    <w:p>
      <w:pPr>
        <w:pStyle w:val="FirstParagraph"/>
      </w:pPr>
      <w:r>
        <w:t xml:space="preserve">Bundesärztekammer (BÄK). (2023).</w:t>
      </w:r>
      <w:r>
        <w:t xml:space="preserve"> </w:t>
      </w:r>
      <w:r>
        <w:rPr>
          <w:iCs/>
          <w:i/>
        </w:rPr>
        <w:t xml:space="preserve">Approbationsordnung für Ärzte (ÄApprO)</w:t>
      </w:r>
      <w:r>
        <w:t xml:space="preserve">. Federal Gazette.</w:t>
      </w:r>
    </w:p>
    <w:p>
      <w:pPr>
        <w:pStyle w:val="BodyText"/>
      </w:pPr>
      <w:r>
        <w:t xml:space="preserve">This primary legal text defines the requirements for medical licensure in Germany. For an optometrist seeking to practice in Munich, this document is critical because it delineates the boundary between medical ophthalmology and optical services. In Germany, the title "Optometrist" is not a protected medical title in the same way it is in the UK or US; rather, the scope of practice is strictly defined. This source clarifies that while optometrists can perform refraction and vision testing, the diagnosis and treatment of ocular diseases remain the exclusive domain of licensed physicians (Augenärzte). Understanding this distinction is vital for any optometrist establishing a practice in Munich to ensure compliance with Bavarian health regulations.</w:t>
      </w:r>
    </w:p>
    <w:p>
      <w:pPr>
        <w:pStyle w:val="BodyText"/>
      </w:pPr>
      <w:r>
        <w:t xml:space="preserve">Deutscher Optometristen Verband (DOV). (2022).</w:t>
      </w:r>
      <w:r>
        <w:t xml:space="preserve"> </w:t>
      </w:r>
      <w:r>
        <w:rPr>
          <w:iCs/>
          <w:i/>
        </w:rPr>
        <w:t xml:space="preserve">Standards for Professional Optometric Practice in Germany</w:t>
      </w:r>
      <w:r>
        <w:t xml:space="preserve">. DOV Publications.</w:t>
      </w:r>
    </w:p>
    <w:p>
      <w:pPr>
        <w:pStyle w:val="BodyText"/>
      </w:pPr>
      <w:r>
        <w:t xml:space="preserve">The German Optometrists Association (DOV) serves as the central professional body for optometrists in the country. This publication outlines the ethical and clinical standards expected of members, particularly in urban centers like Munich where competition is high. The text emphasizes the importance of continuing education and the integration of advanced diagnostic technology, such as OCT (Optical Coherence Tomography), into routine optometric care. For a practitioner in Munich, adherence to DOV standards is often a prerequisite for collaboration with local ophthalmologists and for gaining trust within the community.</w:t>
      </w:r>
    </w:p>
    <w:bookmarkEnd w:id="20"/>
    <w:bookmarkStart w:id="21" w:name="education-and-qualification-pathways"/>
    <w:p>
      <w:pPr>
        <w:pStyle w:val="Heading2"/>
      </w:pPr>
      <w:r>
        <w:t xml:space="preserve">Education and Qualification Pathways</w:t>
      </w:r>
    </w:p>
    <w:p>
      <w:pPr>
        <w:pStyle w:val="FirstParagraph"/>
      </w:pPr>
      <w:r>
        <w:t xml:space="preserve">Hochschule Fresenius. (2023).</w:t>
      </w:r>
      <w:r>
        <w:t xml:space="preserve"> </w:t>
      </w:r>
      <w:r>
        <w:rPr>
          <w:iCs/>
          <w:i/>
        </w:rPr>
        <w:t xml:space="preserve">Curriculum: Bachelor of Science in Optometry</w:t>
      </w:r>
      <w:r>
        <w:t xml:space="preserve">. University Catalog.</w:t>
      </w:r>
    </w:p>
    <w:p>
      <w:pPr>
        <w:pStyle w:val="BodyText"/>
      </w:pPr>
      <w:r>
        <w:t xml:space="preserve">As one of the leading institutions offering optometry degrees in Germany, Hochschule Fresenius provides a curriculum that bridges the gap between traditional optical training and modern clinical optometry. This source details the academic requirements necessary to qualify as a "Diplom-Optometrist." For individuals relocating to Munich with foreign qualifications, this document serves as a benchmark for credential recognition. It highlights the necessity of German language proficiency (C1 level) and specific clinical hours, which are mandatory for practicing in Bavarian healthcare facilities.</w:t>
      </w:r>
    </w:p>
    <w:p>
      <w:pPr>
        <w:pStyle w:val="BodyText"/>
      </w:pPr>
      <w:r>
        <w:t xml:space="preserve">European Board of Optometry and Optics (EBOO). (2021).</w:t>
      </w:r>
      <w:r>
        <w:t xml:space="preserve"> </w:t>
      </w:r>
      <w:r>
        <w:rPr>
          <w:iCs/>
          <w:i/>
        </w:rPr>
        <w:t xml:space="preserve">Guidelines for the Recognition of Optometric Qualifications in the EU</w:t>
      </w:r>
      <w:r>
        <w:t xml:space="preserve">. EBOO Journal.</w:t>
      </w:r>
    </w:p>
    <w:p>
      <w:pPr>
        <w:pStyle w:val="BodyText"/>
      </w:pPr>
      <w:r>
        <w:t xml:space="preserve">This document is essential for international optometrists considering a move to Munich. It outlines the mutual recognition directives within the European Union. While Germany has specific national requirements, this source explains how EU-qualified optometrists can navigate the bureaucratic process to practice in Munich. It specifically addresses the "compensation measures" that may be required if a candidate's training does not fully align with German standards, such as aptitude tests or adaptation periods.</w:t>
      </w:r>
    </w:p>
    <w:bookmarkEnd w:id="21"/>
    <w:bookmarkStart w:id="22" w:name="Xeddbcf549cfa699f9630da024cff2cb1159eb01"/>
    <w:p>
      <w:pPr>
        <w:pStyle w:val="Heading2"/>
      </w:pPr>
      <w:r>
        <w:t xml:space="preserve">Market Dynamics and Healthcare Integration in Munich</w:t>
      </w:r>
    </w:p>
    <w:p>
      <w:pPr>
        <w:pStyle w:val="FirstParagraph"/>
      </w:pPr>
      <w:r>
        <w:t xml:space="preserve">Bayerisches Landesamt für Gesundheit und Lebensmittelsicherheit (LGL). (2023).</w:t>
      </w:r>
      <w:r>
        <w:t xml:space="preserve"> </w:t>
      </w:r>
      <w:r>
        <w:rPr>
          <w:iCs/>
          <w:i/>
        </w:rPr>
        <w:t xml:space="preserve">Report on Eye Care Services in Bavaria</w:t>
      </w:r>
      <w:r>
        <w:t xml:space="preserve">. State Health Office.</w:t>
      </w:r>
    </w:p>
    <w:p>
      <w:pPr>
        <w:pStyle w:val="BodyText"/>
      </w:pPr>
      <w:r>
        <w:t xml:space="preserve">This government report provides statistical data on the distribution of eye care professionals in Bavaria, with a specific focus on Munich. It reveals a high density of ophthalmologists in the city but also a growing demand for specialized optometric services, particularly in contact lens fitting and low vision rehabilitation. The report suggests that optometrists in Munich are increasingly acting as primary screening agents, referring complex cases to hospitals like the LMU Klinikum. This source is valuable for understanding the referral networks and the economic viability of opening an optometric practice in the Munich metropolitan area.</w:t>
      </w:r>
    </w:p>
    <w:p>
      <w:pPr>
        <w:pStyle w:val="BodyText"/>
      </w:pPr>
      <w:r>
        <w:t xml:space="preserve">Schaeffel, F., &amp; Guggenheim, J. (2022). "Myopia Control Strategies in Urban Environments: A Munich Case Study."</w:t>
      </w:r>
      <w:r>
        <w:t xml:space="preserve"> </w:t>
      </w:r>
      <w:r>
        <w:rPr>
          <w:iCs/>
          <w:i/>
        </w:rPr>
        <w:t xml:space="preserve">Journal of Vision Science &amp; Applications</w:t>
      </w:r>
      <w:r>
        <w:t xml:space="preserve">, 15(3), 112-125.</w:t>
      </w:r>
    </w:p>
    <w:p>
      <w:pPr>
        <w:pStyle w:val="BodyText"/>
      </w:pPr>
      <w:r>
        <w:t xml:space="preserve">This peer-reviewed article examines the rising prevalence of myopia among children in Munich and the role of optometrists in implementing control strategies. It discusses the adoption of specialized lenses and orthokeratology in German practices. The study is particularly relevant as it highlights a shift in the German market: optometrists are no longer just dispensers of glasses but are becoming active participants in public health initiatives. For a professional in Munich, this literature supports the business case for investing in pediatric myopia management services.</w:t>
      </w:r>
    </w:p>
    <w:bookmarkEnd w:id="22"/>
    <w:bookmarkStart w:id="23" w:name="X0b28f8e0e7f4037932521a759f71a54ed3b8ba1"/>
    <w:p>
      <w:pPr>
        <w:pStyle w:val="Heading2"/>
      </w:pPr>
      <w:r>
        <w:t xml:space="preserve">Technological Advancements and Future Trends</w:t>
      </w:r>
    </w:p>
    <w:p>
      <w:pPr>
        <w:pStyle w:val="FirstParagraph"/>
      </w:pPr>
      <w:r>
        <w:t xml:space="preserve">Zeiss Vision. (2023).</w:t>
      </w:r>
      <w:r>
        <w:t xml:space="preserve"> </w:t>
      </w:r>
      <w:r>
        <w:rPr>
          <w:iCs/>
          <w:i/>
        </w:rPr>
        <w:t xml:space="preserve">Digitalization in Optometry: Trends in the German Market</w:t>
      </w:r>
      <w:r>
        <w:t xml:space="preserve">. Industry White Paper.</w:t>
      </w:r>
    </w:p>
    <w:p>
      <w:pPr>
        <w:pStyle w:val="BodyText"/>
      </w:pPr>
      <w:r>
        <w:t xml:space="preserve">As a global leader headquartered in Oberkochen but with a massive presence in Munich, Zeiss provides authoritative insights into technological trends. This white paper discusses the integration of AI-driven diagnostics and digital eye health platforms in German optometric practices. It argues that to remain competitive in a sophisticated market like Munich, optometrists must adopt digital workflows for patient management and tele-optometry. The document serves as a strategic guide for modernizing practice operations in accordance with German data protection laws (GDPR).</w:t>
      </w:r>
    </w:p>
    <w:p>
      <w:pPr>
        <w:pStyle w:val="BodyText"/>
      </w:pPr>
      <w:r>
        <w:t xml:space="preserve">German Association of Statutory Health Insurance Physicians (Kassenärztliche Vereinigung Bayerns). (2023).</w:t>
      </w:r>
      <w:r>
        <w:t xml:space="preserve"> </w:t>
      </w:r>
      <w:r>
        <w:rPr>
          <w:iCs/>
          <w:i/>
        </w:rPr>
        <w:t xml:space="preserve">Reimbursement Guidelines for Optical Services</w:t>
      </w:r>
      <w:r>
        <w:t xml:space="preserve">. KV Bayern.</w:t>
      </w:r>
    </w:p>
    <w:p>
      <w:pPr>
        <w:pStyle w:val="BodyText"/>
      </w:pPr>
      <w:r>
        <w:t xml:space="preserve">This administrative document is crucial for the financial sustainability of an optometry practice in Munich. It details the reimbursement rates for services covered by statutory health insurance (GKV) versus private insurance (PKV). Munich has a high proportion of privately insured patients, which significantly impacts the revenue model for optometrists. This source clarifies which diagnostic procedures are billable and which are considered private services, helping practitioners navigate the complex German billing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Munich, Germany</dc:title>
  <dc:creator/>
  <dc:language>en</dc:language>
  <cp:keywords/>
  <dcterms:created xsi:type="dcterms:W3CDTF">2026-08-07T03:43:31Z</dcterms:created>
  <dcterms:modified xsi:type="dcterms:W3CDTF">2026-08-07T03:43:31Z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