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and</w:t>
      </w:r>
      <w:r>
        <w:t xml:space="preserve"> </w:t>
      </w:r>
      <w:r>
        <w:t xml:space="preserve">Vision</w:t>
      </w:r>
      <w:r>
        <w:t xml:space="preserve"> </w:t>
      </w:r>
      <w:r>
        <w:t xml:space="preserve">Care</w:t>
      </w:r>
      <w:r>
        <w:t xml:space="preserve"> </w:t>
      </w:r>
      <w:r>
        <w:t xml:space="preserve">in</w:t>
      </w:r>
      <w:r>
        <w:t xml:space="preserve"> </w:t>
      </w:r>
      <w:r>
        <w:t xml:space="preserve">Almaty,</w:t>
      </w:r>
      <w:r>
        <w:t xml:space="preserve"> </w:t>
      </w:r>
      <w:r>
        <w:t xml:space="preserve">Kazakhstan</w:t>
      </w:r>
    </w:p>
    <w:bookmarkStart w:id="20" w:name="X3c572165354bdbe5ce39fc875a7233940f14bb0"/>
    <w:p>
      <w:pPr>
        <w:pStyle w:val="Heading1"/>
      </w:pPr>
      <w:r>
        <w:t xml:space="preserve">Annotated Bibliography: Optometry Practice and Vision Care in Almaty, Kazakhstan</w:t>
      </w:r>
    </w:p>
    <w:p>
      <w:pPr>
        <w:pStyle w:val="FirstParagraph"/>
      </w:pPr>
      <w:r>
        <w:rPr>
          <w:bCs/>
          <w:b/>
        </w:rPr>
        <w:t xml:space="preserve">Subject:</w:t>
      </w:r>
      <w:r>
        <w:t xml:space="preserve"> </w:t>
      </w:r>
      <w:r>
        <w:t xml:space="preserve">Optometrist Roles, Regulatory Frameworks, and Clinical Standards</w:t>
      </w:r>
      <w:r>
        <w:br/>
      </w:r>
      <w:r>
        <w:rPr>
          <w:bCs/>
          <w:b/>
        </w:rPr>
        <w:t xml:space="preserve">Region:</w:t>
      </w:r>
      <w:r>
        <w:t xml:space="preserve"> </w:t>
      </w:r>
      <w:r>
        <w:t xml:space="preserve">Almaty, Kazakhstan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field of optometry in Almaty, Kazakhstan, is undergoing a significant transformation driven by urbanization, increased digital screen usage, and a growing awareness of eye health. As the largest city and former capital of Kazakhstan, Almaty serves as the primary hub for medical innovation and specialized healthcare services. This annotated bibliography compiles key resources regarding the role of the optometrist, the regulatory environment established by the Ministry of Health of the Republic of Kazakhstan, and the specific epidemiological challenges facing the population in Almaty. The selected sources provide a comprehensive overview of clinical standards, legal requirements for practice, and public health initiatives relevant to vision care professionals operating in this specific geographic and cultural context.</w:t>
      </w:r>
    </w:p>
    <w:bookmarkEnd w:id="21"/>
    <w:bookmarkStart w:id="24" w:name="X45ece82b558936b99373fc2efe9930e4d2b1d1b"/>
    <w:p>
      <w:pPr>
        <w:pStyle w:val="Heading2"/>
      </w:pPr>
      <w:r>
        <w:t xml:space="preserve">Regulatory Framework and Professional Standards</w:t>
      </w:r>
    </w:p>
    <w:bookmarkStart w:id="22" w:name="legal-requirements-for-medical-practice"/>
    <w:p>
      <w:pPr>
        <w:pStyle w:val="Heading3"/>
      </w:pPr>
      <w:r>
        <w:t xml:space="preserve">1. Legal Requirements for Medical Practice</w:t>
      </w:r>
    </w:p>
    <w:p>
      <w:pPr>
        <w:pStyle w:val="FirstParagraph"/>
      </w:pPr>
      <w:r>
        <w:t xml:space="preserve">Ministry of Health of the Republic of Kazakhstan. (2022).</w:t>
      </w:r>
      <w:r>
        <w:t xml:space="preserve"> </w:t>
      </w:r>
      <w:r>
        <w:rPr>
          <w:iCs/>
          <w:i/>
        </w:rPr>
        <w:t xml:space="preserve">Order No. 456: On Approval of the Rules for Licensing of Medical Activities</w:t>
      </w:r>
      <w:r>
        <w:t xml:space="preserve">. Astana: Government of Kazakhstan.</w:t>
      </w:r>
    </w:p>
    <w:p>
      <w:pPr>
        <w:pStyle w:val="BodyText"/>
      </w:pPr>
      <w:r>
        <w:t xml:space="preserve">This official government document outlines the stringent licensing requirements for all medical professionals, including optometrists, practicing in Kazakhstan. It details the necessary educational credentials, mandatory continuing medical education (CME) hours, and facility standards required for clinics in Almaty to operate legally. For an optometrist, this source is critical as it defines the scope of practice, distinguishing between general ophthalmology and specialized optometric services. The document emphasizes the need for adherence to national sanitary norms, which is particularly relevant for Almaty's high-density urban clinics where patient turnover is high.</w:t>
      </w:r>
    </w:p>
    <w:bookmarkEnd w:id="22"/>
    <w:bookmarkStart w:id="23" w:name="national-clinical-protocols"/>
    <w:p>
      <w:pPr>
        <w:pStyle w:val="Heading3"/>
      </w:pPr>
      <w:r>
        <w:t xml:space="preserve">2. National Clinical Protocols</w:t>
      </w:r>
    </w:p>
    <w:p>
      <w:pPr>
        <w:pStyle w:val="FirstParagraph"/>
      </w:pPr>
      <w:r>
        <w:t xml:space="preserve">Ministry of Health of the Republic of Kazakhstan. (2021).</w:t>
      </w:r>
      <w:r>
        <w:t xml:space="preserve"> </w:t>
      </w:r>
      <w:r>
        <w:rPr>
          <w:iCs/>
          <w:i/>
        </w:rPr>
        <w:t xml:space="preserve">National Clinical Protocol for the Diagnosis and Treatment of Refractive Errors in Adults and Children</w:t>
      </w:r>
      <w:r>
        <w:t xml:space="preserve">. Astana: MHLRC.</w:t>
      </w:r>
    </w:p>
    <w:p>
      <w:pPr>
        <w:pStyle w:val="BodyText"/>
      </w:pPr>
      <w:r>
        <w:t xml:space="preserve">This protocol serves as the clinical bible for optometrists in Kazakhstan. It provides standardized algorithms for diagnosing myopia, hyperopia, and astigmatism, which are prevalent in Almaty's school-aged population. The document aligns Kazakhstani practices with international standards while accounting for local resource availability. It is essential for ensuring that optometrists in Almaty provide evidence-based care, particularly in the management of pediatric vision development and the prescription of corrective lenses. The protocol also addresses the integration of digital screening tools, reflecting the modernization of healthcare infrastructure in the city.</w:t>
      </w:r>
    </w:p>
    <w:bookmarkEnd w:id="23"/>
    <w:bookmarkEnd w:id="24"/>
    <w:bookmarkStart w:id="27" w:name="epidemiology-and-public-health-in-almaty"/>
    <w:p>
      <w:pPr>
        <w:pStyle w:val="Heading2"/>
      </w:pPr>
      <w:r>
        <w:t xml:space="preserve">Epidemiology and Public Health in Almaty</w:t>
      </w:r>
    </w:p>
    <w:bookmarkStart w:id="25" w:name="myopia-trends-in-urban-kazakhstan"/>
    <w:p>
      <w:pPr>
        <w:pStyle w:val="Heading3"/>
      </w:pPr>
      <w:r>
        <w:t xml:space="preserve">3. Myopia Trends in Urban Kazakhstan</w:t>
      </w:r>
    </w:p>
    <w:p>
      <w:pPr>
        <w:pStyle w:val="FirstParagraph"/>
      </w:pPr>
      <w:r>
        <w:t xml:space="preserve">Kazakh National Medical University. (2023).</w:t>
      </w:r>
      <w:r>
        <w:t xml:space="preserve"> </w:t>
      </w:r>
      <w:r>
        <w:rPr>
          <w:iCs/>
          <w:i/>
        </w:rPr>
        <w:t xml:space="preserve">Prevalence of Refractive Errors Among Schoolchildren in Almaty: A Cross-Sectional Study</w:t>
      </w:r>
      <w:r>
        <w:t xml:space="preserve">. Journal of Central Asian Health Sciences, 12(3), 45-58.</w:t>
      </w:r>
    </w:p>
    <w:p>
      <w:pPr>
        <w:pStyle w:val="BodyText"/>
      </w:pPr>
      <w:r>
        <w:t xml:space="preserve">This peer-reviewed study focuses specifically on the rising rates of myopia among children in Almaty. The research highlights a correlation between increased academic pressure, reduced outdoor time, and excessive screen usage in the city's modern educational environment. For optometrists, this data is invaluable for developing targeted public health campaigns and preventive strategies. The study underscores the need for early screening programs in Almaty schools and provides statistical evidence that can be used to advocate for better vision care policies within the local municipal health department.</w:t>
      </w:r>
    </w:p>
    <w:bookmarkEnd w:id="25"/>
    <w:bookmarkStart w:id="26" w:name="environmental-factors-and-eye-health"/>
    <w:p>
      <w:pPr>
        <w:pStyle w:val="Heading3"/>
      </w:pPr>
      <w:r>
        <w:t xml:space="preserve">4. Environmental Factors and Eye Health</w:t>
      </w:r>
    </w:p>
    <w:p>
      <w:pPr>
        <w:pStyle w:val="FirstParagraph"/>
      </w:pPr>
      <w:r>
        <w:t xml:space="preserve">Almaty City Department of Ecology. (2022).</w:t>
      </w:r>
      <w:r>
        <w:t xml:space="preserve"> </w:t>
      </w:r>
      <w:r>
        <w:rPr>
          <w:iCs/>
          <w:i/>
        </w:rPr>
        <w:t xml:space="preserve">Annual Report on Air Quality and Public Health Implications</w:t>
      </w:r>
      <w:r>
        <w:t xml:space="preserve">. Almaty: City Administration.</w:t>
      </w:r>
    </w:p>
    <w:p>
      <w:pPr>
        <w:pStyle w:val="BodyText"/>
      </w:pPr>
      <w:r>
        <w:t xml:space="preserve">While primarily an environmental report, this document is highly relevant to optometrists in Almaty due to the city's unique geographical location in the foothills of the Trans-Ili Alatau mountains. The report details periods of high particulate matter (PM2.5) and dust storms, which contribute to dry eye syndrome and allergic conjunctivitis. Optometrists must understand these environmental stressors to provide appropriate management plans for patients suffering from chronic ocular surface diseases. This source aids in contextualizing patient complaints and tailoring treatment plans that account for Almaty's specific climatic conditions.</w:t>
      </w:r>
    </w:p>
    <w:bookmarkEnd w:id="26"/>
    <w:bookmarkEnd w:id="27"/>
    <w:bookmarkStart w:id="30" w:name="clinical-practice-and-technology"/>
    <w:p>
      <w:pPr>
        <w:pStyle w:val="Heading2"/>
      </w:pPr>
      <w:r>
        <w:t xml:space="preserve">Clinical Practice and Technology</w:t>
      </w:r>
    </w:p>
    <w:bookmarkStart w:id="28" w:name="X61f785b50fef9bcdc7b522ac0c7aa5be56b90a8"/>
    <w:p>
      <w:pPr>
        <w:pStyle w:val="Heading3"/>
      </w:pPr>
      <w:r>
        <w:t xml:space="preserve">5. Digital Eye Strain in the Modern Workforce</w:t>
      </w:r>
    </w:p>
    <w:p>
      <w:pPr>
        <w:pStyle w:val="FirstParagraph"/>
      </w:pPr>
      <w:r>
        <w:t xml:space="preserve">International Council of Ophthalmology. (2023).</w:t>
      </w:r>
      <w:r>
        <w:t xml:space="preserve"> </w:t>
      </w:r>
      <w:r>
        <w:rPr>
          <w:iCs/>
          <w:i/>
        </w:rPr>
        <w:t xml:space="preserve">Guidelines for the Management of Digital Eye Strain in High-Tech Urban Populations</w:t>
      </w:r>
      <w:r>
        <w:t xml:space="preserve">. ICO Press.</w:t>
      </w:r>
    </w:p>
    <w:p>
      <w:pPr>
        <w:pStyle w:val="BodyText"/>
      </w:pPr>
      <w:r>
        <w:t xml:space="preserve">As Almaty becomes a regional hub for IT and business services, the prevalence of digital eye strain (DES) has surged. This international guideline provides optometrists with evidence-based strategies for managing DES, including ergonomic assessments, blue light filtering recommendations, and the 20-20-20 rule. Adapting these global guidelines to the local context is crucial for Almaty-based practitioners who serve a large demographic of office workers and students. The document supports the optometrist's role not just as a prescriber of lenses, but as a consultant on visual ergonomics and lifestyle modification.</w:t>
      </w:r>
    </w:p>
    <w:bookmarkEnd w:id="28"/>
    <w:bookmarkStart w:id="29" w:name="contact-lens-safety-and-hygiene"/>
    <w:p>
      <w:pPr>
        <w:pStyle w:val="Heading3"/>
      </w:pPr>
      <w:r>
        <w:t xml:space="preserve">6. Contact Lens Safety and Hygiene</w:t>
      </w:r>
    </w:p>
    <w:p>
      <w:pPr>
        <w:pStyle w:val="FirstParagraph"/>
      </w:pPr>
      <w:r>
        <w:t xml:space="preserve">Kazakhstan Association of Ophthalmologists and Optometrists. (2022).</w:t>
      </w:r>
      <w:r>
        <w:t xml:space="preserve"> </w:t>
      </w:r>
      <w:r>
        <w:rPr>
          <w:iCs/>
          <w:i/>
        </w:rPr>
        <w:t xml:space="preserve">Best Practices for Contact Lens Fitting and Patient Education in Central Asia</w:t>
      </w:r>
      <w:r>
        <w:t xml:space="preserve">. Almaty: KAOO Publications.</w:t>
      </w:r>
    </w:p>
    <w:p>
      <w:pPr>
        <w:pStyle w:val="BodyText"/>
      </w:pPr>
      <w:r>
        <w:t xml:space="preserve">This regional publication addresses the specific challenges of contact lens wear in Kazakhstan, including water quality concerns and cultural habits regarding eye hygiene. It provides optometrists in Almaty with tailored advice on patient education to prevent microbial keratitis and other complications. The document emphasizes the importance of regular follow-up appointments and proper lens disposal, which are critical for maintaining high standards of care in a market where cosmetic lens usage is growing rapidly among young adults.</w:t>
      </w:r>
    </w:p>
    <w:bookmarkEnd w:id="29"/>
    <w:bookmarkEnd w:id="30"/>
    <w:bookmarkStart w:id="31" w:name="conclusion"/>
    <w:p>
      <w:pPr>
        <w:pStyle w:val="Heading2"/>
      </w:pPr>
      <w:r>
        <w:t xml:space="preserve">Conclusion</w:t>
      </w:r>
    </w:p>
    <w:p>
      <w:pPr>
        <w:pStyle w:val="FirstParagraph"/>
      </w:pPr>
      <w:r>
        <w:t xml:space="preserve">The practice of optometry in Almaty, Kazakhstan, requires a nuanced understanding of both global clinical standards and local regulatory and environmental factors. The resources compiled in this annotated bibliography highlight the importance of adhering to national licensing laws, utilizing standardized clinical protocols, and addressing the specific epidemiological trends of the Almaty population. By integrating these insights, optometrists can enhance the quality of vision care, contribute to public health initiatives, and effectively manage the unique challenges posed by the city's urban environment. Continued professional development and awareness of these key documents are essential for any optometrist seeking to practice successfully and ethically in this dynamic region.</w:t>
      </w:r>
    </w:p>
    <w:bookmarkEnd w:id="31"/>
    <w:p>
      <w:pPr>
        <w:pStyle w:val="BodyText"/>
      </w:pPr>
      <w:r>
        <w:t xml:space="preserve">© 2023 Annotated Bibliography for Optometry Practice in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and Vision Care in Almaty, Kazakhstan</dc:title>
  <dc:creator/>
  <dc:language>en</dc:language>
  <cp:keywords/>
  <dcterms:created xsi:type="dcterms:W3CDTF">2026-08-07T02:06:19Z</dcterms:created>
  <dcterms:modified xsi:type="dcterms:W3CDTF">2026-08-07T02:06:19Z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