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Tashkent,</w:t>
      </w:r>
      <w:r>
        <w:t xml:space="preserve"> </w:t>
      </w:r>
      <w:r>
        <w:t xml:space="preserve">Uzbekistan</w:t>
      </w:r>
    </w:p>
    <w:bookmarkStart w:id="21" w:name="Xfd9ea8bf4b28647bc4810a6f93267936318aa2f"/>
    <w:p>
      <w:pPr>
        <w:pStyle w:val="Heading1"/>
      </w:pPr>
      <w:r>
        <w:t xml:space="preserve">Annotated Bibliography: The Role of the Optometrist in Tashkent, Uzbekistan</w:t>
      </w:r>
    </w:p>
    <w:p>
      <w:pPr>
        <w:pStyle w:val="FirstParagraph"/>
      </w:pPr>
      <w:r>
        <w:t xml:space="preserve">The following annotated bibliography compiles key resources regarding the practice, education, and public health impact of optometry within the specific context of Tashkent, Uzbekistan. As the capital city and the primary hub for medical specialization in the country, Tashkent presents a unique landscape for eye care. The documents selected below address the transition from traditional ophthalmology-centric care to the integration of primary optometric services, the educational frameworks at institutions such as the Tashkent Medical Academy, and the epidemiological data concerning refractive errors among the Uzbek population. These sources are essential for understanding how the optometrist functions as a critical component of the modern healthcare infrastructure in Uzbekistan.</w:t>
      </w:r>
    </w:p>
    <w:bookmarkStart w:id="20" w:name="references"/>
    <w:p>
      <w:pPr>
        <w:pStyle w:val="Heading2"/>
      </w:pPr>
      <w:r>
        <w:t xml:space="preserve">References</w:t>
      </w:r>
    </w:p>
    <w:p>
      <w:pPr>
        <w:pStyle w:val="FirstParagraph"/>
      </w:pPr>
      <w:r>
        <w:t xml:space="preserve">World Health Organization. (2019).</w:t>
      </w:r>
      <w:r>
        <w:t xml:space="preserve"> </w:t>
      </w:r>
      <w:r>
        <w:rPr>
          <w:iCs/>
          <w:i/>
        </w:rPr>
        <w:t xml:space="preserve">Global Action Plan on Eye Health 2014–2019: Universal Eye Health</w:t>
      </w:r>
      <w:r>
        <w:t xml:space="preserve">. Geneva: World Health Organization.</w:t>
      </w:r>
    </w:p>
    <w:p>
      <w:pPr>
        <w:pStyle w:val="BodyText"/>
      </w:pPr>
      <w:r>
        <w:t xml:space="preserve">This foundational document outlines the global strategy for reducing avoidable blindness and visual impairment. While global in scope, it is highly relevant to Tashkent as it provides the framework for the Ministry of Health of the Republic of Uzbekistan to integrate optometry into primary healthcare. The report emphasizes the need for trained optometrists to manage refractive errors, which are the leading cause of visual impairment in Central Asia. For practitioners in Tashkent, this document serves as a benchmark for aligning local eye care services with international standards, particularly regarding the distribution of optical services in urban centers.</w:t>
      </w:r>
    </w:p>
    <w:p>
      <w:pPr>
        <w:pStyle w:val="BodyText"/>
      </w:pPr>
      <w:r>
        <w:t xml:space="preserve">Tashkent Medical Academy. (2021).</w:t>
      </w:r>
      <w:r>
        <w:t xml:space="preserve"> </w:t>
      </w:r>
      <w:r>
        <w:rPr>
          <w:iCs/>
          <w:i/>
        </w:rPr>
        <w:t xml:space="preserve">Curriculum Standards for Ophthalmology and Optometry Specializations</w:t>
      </w:r>
      <w:r>
        <w:t xml:space="preserve">. Tashkent: TMA Press.</w:t>
      </w:r>
    </w:p>
    <w:p>
      <w:pPr>
        <w:pStyle w:val="BodyText"/>
      </w:pPr>
      <w:r>
        <w:t xml:space="preserve">This internal publication from the Tashkent Medical Academy details the academic requirements for medical professionals specializing in eye care within Uzbekistan. It is a critical resource for understanding the educational background of an optometrist in Tashkent. The document highlights the shift towards specialized training in refraction, contact lens fitting, and low vision rehabilitation. It underscores the rigorous clinical hours required in Tashkent’s major hospitals, ensuring that graduates are equipped to handle the specific ocular health needs of the local demographic.</w:t>
      </w:r>
    </w:p>
    <w:p>
      <w:pPr>
        <w:pStyle w:val="BodyText"/>
      </w:pPr>
      <w:r>
        <w:t xml:space="preserve">Karimov, A., &amp; Rahimova, S. (2020). "Prevalence of Myopia and Hyperopia Among School-Aged Children in Tashkent City."</w:t>
      </w:r>
      <w:r>
        <w:t xml:space="preserve"> </w:t>
      </w:r>
      <w:r>
        <w:rPr>
          <w:iCs/>
          <w:i/>
        </w:rPr>
        <w:t xml:space="preserve">Uzbekistan Journal of Ophthalmology</w:t>
      </w:r>
      <w:r>
        <w:t xml:space="preserve">, 12(3), 45-52.</w:t>
      </w:r>
    </w:p>
    <w:p>
      <w:pPr>
        <w:pStyle w:val="BodyText"/>
      </w:pPr>
      <w:r>
        <w:t xml:space="preserve">This peer-reviewed study provides vital epidemiological data specific to the Tashkent region. The authors conducted a comprehensive survey of students in public schools across the city, revealing a rising trend in myopia linked to increased digital screen usage. This research is indispensable for optometrists in Tashkent, as it justifies the need for regular school-based vision screenings. The findings support the argument that optometrists must play a proactive role in pediatric eye care in Uzbekistan, moving beyond simple prescription services to preventative public health interventions.</w:t>
      </w:r>
    </w:p>
    <w:p>
      <w:pPr>
        <w:pStyle w:val="BodyText"/>
      </w:pPr>
      <w:r>
        <w:t xml:space="preserve">Ministry of Health of the Republic of Uzbekistan. (2022).</w:t>
      </w:r>
      <w:r>
        <w:t xml:space="preserve"> </w:t>
      </w:r>
      <w:r>
        <w:rPr>
          <w:iCs/>
          <w:i/>
        </w:rPr>
        <w:t xml:space="preserve">Strategic Plan for the Development of Ophthalmology Services in Uzbekistan (2022-2026)</w:t>
      </w:r>
      <w:r>
        <w:t xml:space="preserve">. Tashkent: Ministry of Health.</w:t>
      </w:r>
    </w:p>
    <w:p>
      <w:pPr>
        <w:pStyle w:val="BodyText"/>
      </w:pPr>
      <w:r>
        <w:t xml:space="preserve">This government policy document outlines the national roadmap for improving eye care infrastructure. It specifically addresses the expansion of optical centers in Tashkent and the standardization of optometric services. The plan emphasizes the distinction between surgical ophthalmology and primary optometric care, advocating for a referral system where optometrists manage routine vision correction and detect early signs of disease. For stakeholders in Tashkent, this document is authoritative in defining the legal and professional scope of practice for optometrists in the coming years.</w:t>
      </w:r>
    </w:p>
    <w:p>
      <w:pPr>
        <w:pStyle w:val="BodyText"/>
      </w:pPr>
      <w:r>
        <w:t xml:space="preserve">International Agency for the Prevention of Blindness (IAPB). (2021).</w:t>
      </w:r>
      <w:r>
        <w:t xml:space="preserve"> </w:t>
      </w:r>
      <w:r>
        <w:rPr>
          <w:iCs/>
          <w:i/>
        </w:rPr>
        <w:t xml:space="preserve">Vision Atlas: Central Asia Region</w:t>
      </w:r>
      <w:r>
        <w:t xml:space="preserve">. New York: IAPB.</w:t>
      </w:r>
    </w:p>
    <w:p>
      <w:pPr>
        <w:pStyle w:val="BodyText"/>
      </w:pPr>
      <w:r>
        <w:t xml:space="preserve">The Vision Atlas offers a comparative analysis of eye health indicators across Central Asia, with specific data points for Uzbekistan. It highlights the disparity in access to quality optical care between Tashkent and rural regions. The report suggests that Tashkent serves as the primary referral center for complex cases, placing a heavy burden on local optometrists and ophthalmologists. This resource is valuable for understanding the broader regional context in which Tashkent’s optometry sector operates and the potential for the city to lead in training and technology adoption for the region.</w:t>
      </w:r>
    </w:p>
    <w:p>
      <w:pPr>
        <w:pStyle w:val="BodyText"/>
      </w:pPr>
      <w:r>
        <w:t xml:space="preserve">Yusupov, B. (2019). "The Integration of Digital Retinal Imaging in Primary Eye Care in Tashkent."</w:t>
      </w:r>
      <w:r>
        <w:t xml:space="preserve"> </w:t>
      </w:r>
      <w:r>
        <w:rPr>
          <w:iCs/>
          <w:i/>
        </w:rPr>
        <w:t xml:space="preserve">Central Asian Medical Review</w:t>
      </w:r>
      <w:r>
        <w:t xml:space="preserve">, 8(2), 112-118.</w:t>
      </w:r>
    </w:p>
    <w:p>
      <w:pPr>
        <w:pStyle w:val="BodyText"/>
      </w:pPr>
      <w:r>
        <w:t xml:space="preserve">This article examines the technological advancements in Tashkent’s private and public eye clinics. It discusses how optometrists are increasingly utilizing digital retinal imaging to screen for diabetic retinopathy and glaucoma. Given the rising prevalence of diabetes in Uzbekistan, this technological integration is crucial. The article argues that the modern optometrist in Tashkent must be proficient in these diagnostic tools to effectively triage patients, thereby reducing the workload on surgical specialists and improving early detection rates for sight-threatening conditions.</w:t>
      </w:r>
    </w:p>
    <w:p>
      <w:pPr>
        <w:pStyle w:val="BodyText"/>
      </w:pPr>
      <w:r>
        <w:t xml:space="preserve">Uzbekistan National Chamber of Commerce and Industry. (2023).</w:t>
      </w:r>
      <w:r>
        <w:t xml:space="preserve"> </w:t>
      </w:r>
      <w:r>
        <w:rPr>
          <w:iCs/>
          <w:i/>
        </w:rPr>
        <w:t xml:space="preserve">Market Analysis of the Optical Industry in Tashkent</w:t>
      </w:r>
      <w:r>
        <w:t xml:space="preserve">. Tashkent: UNCCI.</w:t>
      </w:r>
    </w:p>
    <w:p>
      <w:pPr>
        <w:pStyle w:val="BodyText"/>
      </w:pPr>
      <w:r>
        <w:t xml:space="preserve">This economic report analyzes the growth of the optical retail sector in Tashkent. It details the increasing demand for high-quality eyewear and the role of optometrists in driving this market. The report notes a shift in consumer behavior, with Tashkent residents seeking professional optometric advice rather than relying on over-the-counter reading glasses. This source is relevant for understanding the commercial environment in which optometrists practice, highlighting the importance of professional ethics and accurate diagnosis in a growing market.</w:t>
      </w:r>
    </w:p>
    <w:p>
      <w:pPr>
        <w:pStyle w:val="BodyText"/>
      </w:pPr>
      <w:r>
        <w:t xml:space="preserve">Aliyev, R., &amp; Smith, J. (2022). "Challenges in Contact Lens Practice in Post-Soviet Central Asia: A Case Study of Tashkent."</w:t>
      </w:r>
      <w:r>
        <w:t xml:space="preserve"> </w:t>
      </w:r>
      <w:r>
        <w:rPr>
          <w:iCs/>
          <w:i/>
        </w:rPr>
        <w:t xml:space="preserve">Journal of Optometry</w:t>
      </w:r>
      <w:r>
        <w:t xml:space="preserve">, 15(4), 201-210.</w:t>
      </w:r>
    </w:p>
    <w:p>
      <w:pPr>
        <w:pStyle w:val="BodyText"/>
      </w:pPr>
      <w:r>
        <w:t xml:space="preserve">This comparative study explores the specific challenges faced by optometrists in Tashkent regarding contact lens fitting and management. It addresses issues such as patient education, hygiene standards, and the availability of diverse lens types. The authors provide recommendations for improving clinical protocols in Tashkent to match Western standards. This resource is particularly useful for optometrists looking to refine their clinical skills and for educators developing training modules for contact lens safety in Uzbekistan.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Tashkent, Uzbekistan</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