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4" w:name="X4f8f1b77aef709240e2e98181d4888109db5a31"/>
    <w:p>
      <w:pPr>
        <w:pStyle w:val="Heading1"/>
      </w:pPr>
      <w:r>
        <w:t xml:space="preserve">Annotated Bibliography: Orthodontic Care and Regulation in Melbourne, Australia</w:t>
      </w:r>
    </w:p>
    <w:p>
      <w:pPr>
        <w:pStyle w:val="FirstParagraph"/>
      </w:pPr>
      <w:r>
        <w:t xml:space="preserve">This annotated bibliography provides a comprehensive overview of the current landscape regarding orthodontic practice in Melbourne, Australia. It covers regulatory frameworks, clinical guidelines, public health statistics, and professional standards specific to the state of Victoria and the broader Australian context. The selected sources are essential for understanding the scope of practice for an orthodontist, the requirements for private health insurance rebates, and the epidemiological needs of the Melbourne population.</w:t>
      </w:r>
    </w:p>
    <w:bookmarkStart w:id="20" w:name="regulatory-and-professional-standards"/>
    <w:p>
      <w:pPr>
        <w:pStyle w:val="Heading2"/>
      </w:pPr>
      <w:r>
        <w:t xml:space="preserve">Regulatory and Professional Standards</w:t>
      </w:r>
    </w:p>
    <w:p>
      <w:pPr>
        <w:pStyle w:val="FirstParagraph"/>
      </w:pPr>
      <w:r>
        <w:t xml:space="preserve">Australian Health Practitioner Regulation Agency (AHPRA). (2023).</w:t>
      </w:r>
      <w:r>
        <w:t xml:space="preserve"> </w:t>
      </w:r>
      <w:r>
        <w:rPr>
          <w:iCs/>
          <w:i/>
        </w:rPr>
        <w:t xml:space="preserve">Registration Standards for Dental Practitioners</w:t>
      </w:r>
      <w:r>
        <w:t xml:space="preserve">. Canberra: AHPRA.</w:t>
      </w:r>
    </w:p>
    <w:p>
      <w:pPr>
        <w:pStyle w:val="BodyText"/>
      </w:pPr>
      <w:r>
        <w:t xml:space="preserve">This document outlines the mandatory requirements for all dental practitioners, including orthodontists, to maintain registration in Australia. For an orthodontist practicing in Melbourne, this source is critical as it details the Continuing Professional Development (CPD) hours required annually. It establishes the legal baseline for practice, ensuring that specialists in Victoria adhere to national safety and competency standards. The document is essential for understanding the administrative obligations of maintaining a private practice or working within the public health system in Melbourne.</w:t>
      </w:r>
    </w:p>
    <w:p>
      <w:pPr>
        <w:pStyle w:val="BodyText"/>
      </w:pPr>
      <w:r>
        <w:t xml:space="preserve">Australian Dental Association (ADA). (2022).</w:t>
      </w:r>
      <w:r>
        <w:t xml:space="preserve"> </w:t>
      </w:r>
      <w:r>
        <w:rPr>
          <w:iCs/>
          <w:i/>
        </w:rPr>
        <w:t xml:space="preserve">Code of Ethics and Professional Conduct</w:t>
      </w:r>
      <w:r>
        <w:t xml:space="preserve">. Sydney: ADA.</w:t>
      </w:r>
    </w:p>
    <w:p>
      <w:pPr>
        <w:pStyle w:val="BodyText"/>
      </w:pPr>
      <w:r>
        <w:t xml:space="preserve">The ADA Code of Ethics serves as the moral compass for dental professionals across Australia, including Melbourne. This source is particularly relevant for orthodontists when dealing with pediatric patients, a significant demographic in Melbourne's suburbs. It provides guidance on informed consent, confidentiality, and the management of conflicts of interest. For any orthodontist establishing a clinic in Melbourne, this text is indispensable for ensuring that patient interactions and business practices align with the ethical expectations of the Australian dental community.</w:t>
      </w:r>
    </w:p>
    <w:bookmarkEnd w:id="20"/>
    <w:bookmarkStart w:id="21" w:name="clinical-guidelines-and-best-practices"/>
    <w:p>
      <w:pPr>
        <w:pStyle w:val="Heading2"/>
      </w:pPr>
      <w:r>
        <w:t xml:space="preserve">Clinical Guidelines and Best Practices</w:t>
      </w:r>
    </w:p>
    <w:p>
      <w:pPr>
        <w:pStyle w:val="FirstParagraph"/>
      </w:pPr>
      <w:r>
        <w:t xml:space="preserve">Australian Orthodontic Society (AOS). (2021).</w:t>
      </w:r>
      <w:r>
        <w:t xml:space="preserve"> </w:t>
      </w:r>
      <w:r>
        <w:rPr>
          <w:iCs/>
          <w:i/>
        </w:rPr>
        <w:t xml:space="preserve">Clinical Guidelines for Orthodontic Treatment</w:t>
      </w:r>
      <w:r>
        <w:t xml:space="preserve">. Melbourne: AOS.</w:t>
      </w:r>
    </w:p>
    <w:p>
      <w:pPr>
        <w:pStyle w:val="BodyText"/>
      </w:pPr>
      <w:r>
        <w:t xml:space="preserve">As the peak professional body for orthodontists in Australia, the AOS provides evidence-based guidelines that are directly applicable to clinical practice in Melbourne. This publication covers diagnosis, treatment planning, and the management of malocclusion. It is a primary resource for orthodontists in Melbourne to ensure their treatment protocols are consistent with national standards. The guidelines also address the use of modern technologies, such as clear aligners and digital imaging, which are increasingly prevalent in Melbourne's competitive orthodontic market.</w:t>
      </w:r>
    </w:p>
    <w:p>
      <w:pPr>
        <w:pStyle w:val="BodyText"/>
      </w:pPr>
      <w:r>
        <w:t xml:space="preserve">National Health and Medical Research Council (NHMRC). (2020).</w:t>
      </w:r>
      <w:r>
        <w:t xml:space="preserve"> </w:t>
      </w:r>
      <w:r>
        <w:rPr>
          <w:iCs/>
          <w:i/>
        </w:rPr>
        <w:t xml:space="preserve">Oral Health in Australia: A National Report</w:t>
      </w:r>
      <w:r>
        <w:t xml:space="preserve">. Canberra: NHMRC.</w:t>
      </w:r>
    </w:p>
    <w:p>
      <w:pPr>
        <w:pStyle w:val="BodyText"/>
      </w:pPr>
      <w:r>
        <w:t xml:space="preserve">This report provides a macro-level view of oral health status in Australia, with specific data sets relevant to Victoria. For an orthodontist in Melbourne, this source offers valuable epidemiological data regarding the prevalence of malocclusion and the demand for orthodontic services. It highlights disparities in access to care between metropolitan Melbourne and regional areas, informing public health initiatives and private practice location strategies. The report is crucial for understanding the broader health context in which orthodontic care is delivered.</w:t>
      </w:r>
    </w:p>
    <w:bookmarkEnd w:id="21"/>
    <w:bookmarkStart w:id="22" w:name="public-health-and-government-programs"/>
    <w:p>
      <w:pPr>
        <w:pStyle w:val="Heading2"/>
      </w:pPr>
      <w:r>
        <w:t xml:space="preserve">Public Health and Government Programs</w:t>
      </w:r>
    </w:p>
    <w:p>
      <w:pPr>
        <w:pStyle w:val="FirstParagraph"/>
      </w:pPr>
      <w:r>
        <w:t xml:space="preserve">Department of Health, State Government of Victoria. (2023).</w:t>
      </w:r>
      <w:r>
        <w:t xml:space="preserve"> </w:t>
      </w:r>
      <w:r>
        <w:rPr>
          <w:iCs/>
          <w:i/>
        </w:rPr>
        <w:t xml:space="preserve">Child Dental Benefits Schedule (CDBS) and Orthodontic Eligibility</w:t>
      </w:r>
      <w:r>
        <w:t xml:space="preserve">. Melbourne: Victorian Government.</w:t>
      </w:r>
    </w:p>
    <w:p>
      <w:pPr>
        <w:pStyle w:val="BodyText"/>
      </w:pPr>
      <w:r>
        <w:t xml:space="preserve">This government document details the eligibility criteria for government-subsidized dental care in Victoria. While the CDBS primarily covers general dentistry, this source clarifies the limited circumstances under which orthodontic treatment may be covered for children in Melbourne. It is a vital resource for orthodontists to understand when to refer patients to public hospitals for assessment and how to navigate the intersection of private practice and government-funded care in the Melbourne area.</w:t>
      </w:r>
    </w:p>
    <w:p>
      <w:pPr>
        <w:pStyle w:val="BodyText"/>
      </w:pPr>
      <w:r>
        <w:t xml:space="preserve">Royal Children’s Hospital Melbourne. (2022).</w:t>
      </w:r>
      <w:r>
        <w:t xml:space="preserve"> </w:t>
      </w:r>
      <w:r>
        <w:rPr>
          <w:iCs/>
          <w:i/>
        </w:rPr>
        <w:t xml:space="preserve">Orthodontic Service Guidelines and Referral Pathways</w:t>
      </w:r>
      <w:r>
        <w:t xml:space="preserve">. Parkville, VIC: RCH.</w:t>
      </w:r>
    </w:p>
    <w:p>
      <w:pPr>
        <w:pStyle w:val="BodyText"/>
      </w:pPr>
      <w:r>
        <w:t xml:space="preserve">The Royal Children’s Hospital (RCH) is a leading provider of public orthodontic care in Melbourne. This document outlines the clinical criteria for accepting referrals for orthodontic treatment within the public system. For private orthodontists in Melbourne, this source is essential for understanding the threshold of severity required for public intervention. It helps practitioners identify complex cases that may require multidisciplinary care available at the RCH, ensuring appropriate patient management and collaboration within the Melbourne healthcare network.</w:t>
      </w:r>
    </w:p>
    <w:bookmarkEnd w:id="22"/>
    <w:bookmarkStart w:id="23" w:name="insurance-and-financial-aspects"/>
    <w:p>
      <w:pPr>
        <w:pStyle w:val="Heading2"/>
      </w:pPr>
      <w:r>
        <w:t xml:space="preserve">Insurance and Financial Aspects</w:t>
      </w:r>
    </w:p>
    <w:p>
      <w:pPr>
        <w:pStyle w:val="FirstParagraph"/>
      </w:pPr>
      <w:r>
        <w:t xml:space="preserve">Private Health Insurance Ombudsman (PHIO). (2023).</w:t>
      </w:r>
      <w:r>
        <w:t xml:space="preserve"> </w:t>
      </w:r>
      <w:r>
        <w:rPr>
          <w:iCs/>
          <w:i/>
        </w:rPr>
        <w:t xml:space="preserve">Understanding Orthodontic Cover in Australia</w:t>
      </w:r>
      <w:r>
        <w:t xml:space="preserve">. Canberra: PHIO.</w:t>
      </w:r>
    </w:p>
    <w:p>
      <w:pPr>
        <w:pStyle w:val="BodyText"/>
      </w:pPr>
      <w:r>
        <w:t xml:space="preserve">This guide explains how private health insurance policies in Australia typically cover orthodontic treatment. For orthodontists in Melbourne, where out-of-pocket costs are a significant consideration for patients, this document provides clarity on waiting periods, annual limits, and rebate structures. It is a practical resource for clinic staff to assist Melbourne patients in understanding their financial obligations and insurance benefits, thereby improving patient satisfaction and financial transparency.</w:t>
      </w:r>
    </w:p>
    <w:p>
      <w:pPr>
        <w:pStyle w:val="BodyText"/>
      </w:pPr>
      <w:r>
        <w:t xml:space="preserve">Australian Institute of Health and Welfare (AIHW). (2021).</w:t>
      </w:r>
      <w:r>
        <w:t xml:space="preserve"> </w:t>
      </w:r>
      <w:r>
        <w:rPr>
          <w:iCs/>
          <w:i/>
        </w:rPr>
        <w:t xml:space="preserve">Dental Services in Australia</w:t>
      </w:r>
      <w:r>
        <w:t xml:space="preserve">. Canberra: AIHW.</w:t>
      </w:r>
    </w:p>
    <w:p>
      <w:pPr>
        <w:pStyle w:val="BodyText"/>
      </w:pPr>
      <w:r>
        <w:t xml:space="preserve">The AIHW provides statistical data on the utilization of dental services, including orthodontics, across Australia. This source offers insights into trends in orthodontic treatment uptake in Victoria and Melbourne. It is useful for orthodontists and health policymakers to analyze demand patterns, workforce distribution, and the economic impact of orthodontic care. The data supports strategic planning for practice growth and resource allocation in the Melbourne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Melbourne, Australia</dc:title>
  <dc:creator/>
  <dc:language>en</dc:language>
  <cp:keywords/>
  <dcterms:created xsi:type="dcterms:W3CDTF">2026-08-08T07:18:33Z</dcterms:created>
  <dcterms:modified xsi:type="dcterms:W3CDTF">2026-08-08T07:18:33Z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