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Moscow,</w:t>
      </w:r>
      <w:r>
        <w:t xml:space="preserve"> </w:t>
      </w:r>
      <w:r>
        <w:t xml:space="preserve">Russia</w:t>
      </w:r>
    </w:p>
    <w:bookmarkStart w:id="23" w:name="X3e49aa1f57d00da6c531c0b366b395032d037e5"/>
    <w:p>
      <w:pPr>
        <w:pStyle w:val="Heading1"/>
      </w:pPr>
      <w:r>
        <w:t xml:space="preserve">Annotated Bibliography: Orthodontic Practice and Standards in Moscow, Russia</w:t>
      </w:r>
    </w:p>
    <w:p>
      <w:pPr>
        <w:pStyle w:val="FirstParagraph"/>
      </w:pPr>
      <w:r>
        <w:t xml:space="preserve">This annotated bibliography compiles key resources regarding the field of orthodontics as it pertains specifically to the professional landscape, regulatory environment, and clinical standards in Moscow, Russia. The collection includes government decrees, professional association guidelines, and academic studies relevant to orthodontists practicing in the Russian Federation. These sources are essential for understanding the legal requirements, educational pathways, and clinical expectations for orthodontic care in Moscow.</w:t>
      </w:r>
    </w:p>
    <w:bookmarkStart w:id="20" w:name="regulatory-and-legal-frameworks"/>
    <w:p>
      <w:pPr>
        <w:pStyle w:val="Heading2"/>
      </w:pPr>
      <w:r>
        <w:t xml:space="preserve">Regulatory and Legal Frameworks</w:t>
      </w:r>
    </w:p>
    <w:p>
      <w:pPr>
        <w:pStyle w:val="FirstParagraph"/>
      </w:pPr>
      <w:r>
        <w:t xml:space="preserve">Ministry of Health of the Russian Federation. (2021). Order No. 957n "On Approval of the Standard of Specialized Medical Care for Patients with Dental Anomalies." Moscow: Ministry of Health.</w:t>
      </w:r>
    </w:p>
    <w:p>
      <w:pPr>
        <w:pStyle w:val="BodyText"/>
      </w:pPr>
      <w:r>
        <w:t xml:space="preserve">This official government order is a foundational document for any orthodontist practicing in Moscow. It establishes the mandatory clinical protocols, diagnostic procedures, and treatment standards for patients with dental anomalies. The document outlines the specific equipment and materials required in orthodontic clinics within the Russian Federation. For practitioners in Moscow, adherence to Order No. 957n is not optional; it dictates the scope of practice and ensures that care meets the federal quality standards. This source is critical for understanding the bureaucratic and clinical obligations of an orthodontist in the region.</w:t>
      </w:r>
    </w:p>
    <w:p>
      <w:pPr>
        <w:pStyle w:val="BodyText"/>
      </w:pPr>
      <w:r>
        <w:t xml:space="preserve">Federal Law of the Russian Federation. (2011). "On the Fundamentals of Protection of the Health of Citizens in the Russian Federation" (No. 323-FZ). Moscow: Russian Government Publishing House.</w:t>
      </w:r>
    </w:p>
    <w:p>
      <w:pPr>
        <w:pStyle w:val="BodyText"/>
      </w:pPr>
      <w:r>
        <w:t xml:space="preserve">While a broad healthcare law, Federal Law No. 323-FZ is indispensable for orthodontists in Moscow regarding patient rights, informed consent, and medical confidentiality. It defines the legal relationship between the orthodontist and the patient, particularly concerning the mandatory nature of informed consent for orthodontic interventions. For an orthodontist operating in Moscow, this law provides the legal framework for handling patient data and managing liability. It is a primary reference for ensuring that clinical practices in Moscow align with national legal requirements for medical service provision.</w:t>
      </w:r>
    </w:p>
    <w:bookmarkEnd w:id="20"/>
    <w:bookmarkStart w:id="21" w:name="Xfbbafa1ba2ea11ae3aaf2c49ca28cdd2eed8195"/>
    <w:p>
      <w:pPr>
        <w:pStyle w:val="Heading2"/>
      </w:pPr>
      <w:r>
        <w:t xml:space="preserve">Professional Associations and Clinical Guidelines</w:t>
      </w:r>
    </w:p>
    <w:p>
      <w:pPr>
        <w:pStyle w:val="FirstParagraph"/>
      </w:pPr>
      <w:r>
        <w:t xml:space="preserve">Russian Association of Orthodontists (RAO). (2022). "Clinical Guidelines for the Diagnosis and Treatment of Malocclusion in Children and Adults." Moscow: RAO Publishing.</w:t>
      </w:r>
    </w:p>
    <w:p>
      <w:pPr>
        <w:pStyle w:val="BodyText"/>
      </w:pPr>
      <w:r>
        <w:t xml:space="preserve">Published by the leading professional body in the field, this document represents the consensus of top orthodontic experts in Russia. It provides detailed, evidence-based recommendations for diagnosing and treating various types of malocclusion. For an orthodontist in Moscow, this guide is the benchmark for clinical excellence. It covers everything from early intervention in pediatric patients to complex orthognathic surgery planning in adults. Utilizing these guidelines ensures that a practitioner in Moscow is delivering care that is consistent with the highest standards recognized by the Russian dental community.</w:t>
      </w:r>
    </w:p>
    <w:p>
      <w:pPr>
        <w:pStyle w:val="BodyText"/>
      </w:pPr>
      <w:r>
        <w:t xml:space="preserve">Association of Dentists of Moscow. (2023). "Annual Report on Dental Health and Orthodontic Services in the Moscow Region." Moscow: ADM.</w:t>
      </w:r>
    </w:p>
    <w:p>
      <w:pPr>
        <w:pStyle w:val="BodyText"/>
      </w:pPr>
      <w:r>
        <w:t xml:space="preserve">This report offers a localized perspective on the state of orthodontics specifically within Moscow. It includes statistical data on the prevalence of dental anomalies among Moscow residents, the availability of orthodontic services, and trends in patient demand. For an orthodontist considering practice in Moscow, this document provides valuable market intelligence. It highlights specific challenges and opportunities within the city's healthcare infrastructure, such as the integration of private orthodontic practices with the state-funded healthcare system. It is a key resource for understanding the local demographic needs.</w:t>
      </w:r>
    </w:p>
    <w:bookmarkEnd w:id="21"/>
    <w:bookmarkStart w:id="22" w:name="academic-and-educational-resources"/>
    <w:p>
      <w:pPr>
        <w:pStyle w:val="Heading2"/>
      </w:pPr>
      <w:r>
        <w:t xml:space="preserve">Academic and Educational Resources</w:t>
      </w:r>
    </w:p>
    <w:p>
      <w:pPr>
        <w:pStyle w:val="FirstParagraph"/>
      </w:pPr>
      <w:r>
        <w:t xml:space="preserve">Sechenov University. (2020). "Curriculum Standards for Postgraduate Specialization in Orthodontics." Moscow: Sechenov University Press.</w:t>
      </w:r>
    </w:p>
    <w:p>
      <w:pPr>
        <w:pStyle w:val="BodyText"/>
      </w:pPr>
      <w:r>
        <w:t xml:space="preserve">Sechenov University is one of the most prestigious medical institutions in Russia. This document outlines the rigorous educational requirements for becoming a certified orthodontist in the country. It details the theoretical and practical competencies required, including advanced training in cephalometric analysis and biomechanics. For an orthodontist in Moscow, this source is relevant for understanding the qualification standards of colleagues and the continuous professional development (CPD) requirements mandated by the Ministry of Health. It serves as a reference for the academic rigor expected in the Moscow orthodontic community.</w:t>
      </w:r>
    </w:p>
    <w:p>
      <w:pPr>
        <w:pStyle w:val="BodyText"/>
      </w:pPr>
      <w:r>
        <w:t xml:space="preserve">Ivanova, E., &amp; Petrov, A. (2021). "Application of Digital Orthodontics in Moscow Clinics: A Comparative Study." Journal of Russian Stomatology, 18(3), 45-52.</w:t>
      </w:r>
    </w:p>
    <w:p>
      <w:pPr>
        <w:pStyle w:val="BodyText"/>
      </w:pPr>
      <w:r>
        <w:t xml:space="preserve">This peer-reviewed article examines the adoption of digital technologies, such as intraoral scanning and 3D printing, in orthodontic practices across Moscow. The study compares traditional methods with digital workflows, highlighting efficiency gains and patient satisfaction levels. For an orthodontist in Moscow, this research is crucial for staying current with technological trends. It provides evidence supporting the investment in digital infrastructure, which is increasingly becoming the norm in competitive Moscow clinics. The article offers practical insights into modernizing orthodontic care within the specific context of Russian dental practices.</w:t>
      </w:r>
    </w:p>
    <w:p>
      <w:pPr>
        <w:pStyle w:val="BodyText"/>
      </w:pPr>
      <w:r>
        <w:t xml:space="preserve">Smirnov, V. (2019). "Pediatric Orthodontics: Early Intervention Strategies in the Russian Federation." Moscow Dental Journal, 12(2), 112-119.</w:t>
      </w:r>
    </w:p>
    <w:p>
      <w:pPr>
        <w:pStyle w:val="BodyText"/>
      </w:pPr>
      <w:r>
        <w:t xml:space="preserve">Focusing on the pediatric population, this article discusses the importance of early orthodontic intervention in Russian children. It addresses common malocclusion patterns observed in Moscow and recommends specific treatment protocols for young patients. Given the high demand for pediatric orthodontic services in Moscow, this resource is vital for orthodontists specializing in child care. It aligns with the national health goals of improving dental health outcomes in youth and provides a localized approach to managing developmental dental issues.</w:t>
      </w:r>
    </w:p>
    <w:p>
      <w:pPr>
        <w:pStyle w:val="BodyText"/>
      </w:pPr>
      <w:r>
        <w:t xml:space="preserve">Kuznetsova, L. (2022). "Ethical Considerations in Orthodontic Practice: A Russian Perspective." Ethics in Dentistry, 5(1), 23-30.</w:t>
      </w:r>
    </w:p>
    <w:p>
      <w:pPr>
        <w:pStyle w:val="BodyText"/>
      </w:pPr>
      <w:r>
        <w:t xml:space="preserve">This article explores the ethical dilemmas faced by orthodontists in Russia, including issues of aesthetic versus functional treatment and financial transparency. It is particularly relevant for practitioners in Moscow, where the market for cosmetic orthodontics is robust. The author discusses the balance between patient desires and clinical necessity, providing a framework for ethical decision-making. For an orthodontist in Moscow, this source is essential for maintaining professional integrity and building trust with patients in a competitive and commercially driven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Moscow, Russia</dc:title>
  <dc:creator/>
  <dc:language>en</dc:language>
  <cp:keywords/>
  <dcterms:created xsi:type="dcterms:W3CDTF">2026-08-07T10:04:47Z</dcterms:created>
  <dcterms:modified xsi:type="dcterms:W3CDTF">2026-08-07T10:04:47Z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