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Abu</w:t>
      </w:r>
      <w:r>
        <w:t xml:space="preserve"> </w:t>
      </w:r>
      <w:r>
        <w:t xml:space="preserve">Dhabi,</w:t>
      </w:r>
      <w:r>
        <w:t xml:space="preserve"> </w:t>
      </w:r>
      <w:r>
        <w:t xml:space="preserve">UAE</w:t>
      </w:r>
    </w:p>
    <w:bookmarkStart w:id="24" w:name="Xcc2ba189d18e647721db6f8c1ee5bac67f3614a"/>
    <w:p>
      <w:pPr>
        <w:pStyle w:val="Heading1"/>
      </w:pPr>
      <w:r>
        <w:t xml:space="preserve">Annotated Bibliography: Orthodontic Practice and Regulation in Abu Dhabi, UAE</w:t>
      </w:r>
    </w:p>
    <w:p>
      <w:pPr>
        <w:pStyle w:val="FirstParagraph"/>
      </w:pPr>
      <w:r>
        <w:t xml:space="preserve">This annotated bibliography compiles key regulatory documents, clinical guidelines, and market analyses relevant to the practice of orthodontics within the United Arab Emirates, specifically focusing on the emirate of Abu Dhabi. The selected sources address the legal requirements for licensure, clinical standards enforced by local health authorities, and the demographic trends influencing orthodontic care in the region.</w:t>
      </w:r>
    </w:p>
    <w:bookmarkStart w:id="20" w:name="regulatory-framework-and-licensure"/>
    <w:p>
      <w:pPr>
        <w:pStyle w:val="Heading2"/>
      </w:pPr>
      <w:r>
        <w:t xml:space="preserve">Regulatory Framework and Licensure</w:t>
      </w:r>
    </w:p>
    <w:p>
      <w:pPr>
        <w:pStyle w:val="FirstParagraph"/>
      </w:pPr>
      <w:r>
        <w:t xml:space="preserve">Department of Health – Abu Dhabi (DOH). (2023).</w:t>
      </w:r>
      <w:r>
        <w:t xml:space="preserve"> </w:t>
      </w:r>
      <w:r>
        <w:rPr>
          <w:iCs/>
          <w:i/>
        </w:rPr>
        <w:t xml:space="preserve">Healthcare Professional Licensing Regulations and Procedures</w:t>
      </w:r>
      <w:r>
        <w:t xml:space="preserve">. Abu Dhabi, UAE: DOH Publications.</w:t>
      </w:r>
    </w:p>
    <w:p>
      <w:pPr>
        <w:pStyle w:val="BodyText"/>
      </w:pPr>
      <w:r>
        <w:t xml:space="preserve">This primary regulatory document outlines the mandatory requirements for all healthcare professionals, including orthodontists, seeking to practice in Abu Dhabi. It details the classification of specialties, the necessity of primary source verification of credentials, and the specific examination requirements administered by the DOH. For an orthodontist, this document is critical as it defines the scope of practice, distinguishing between general dentists with orthodontic training and board-certified orthodontic specialists. It serves as the foundational legal text for establishing a clinic or joining a healthcare facility in the emirate.</w:t>
      </w:r>
    </w:p>
    <w:p>
      <w:pPr>
        <w:pStyle w:val="BodyText"/>
      </w:pPr>
      <w:r>
        <w:t xml:space="preserve">Keywords: DOH, Licensure, Scope of Practice, Abu Dhabi Regulations.</w:t>
      </w:r>
    </w:p>
    <w:p>
      <w:pPr>
        <w:pStyle w:val="BodyText"/>
      </w:pPr>
      <w:r>
        <w:t xml:space="preserve">Health Authority – Abu Dhabi (HAAD). (2021).</w:t>
      </w:r>
      <w:r>
        <w:t xml:space="preserve"> </w:t>
      </w:r>
      <w:r>
        <w:rPr>
          <w:iCs/>
          <w:i/>
        </w:rPr>
        <w:t xml:space="preserve">Classification of Healthcare Facilities and Standards for Dental Clinics</w:t>
      </w:r>
      <w:r>
        <w:t xml:space="preserve">. Abu Dhabi, UAE: HAAD.</w:t>
      </w:r>
    </w:p>
    <w:p>
      <w:pPr>
        <w:pStyle w:val="BodyText"/>
      </w:pPr>
      <w:r>
        <w:t xml:space="preserve">Although the regulatory body has transitioned to the Department of Health (DOH), this historical document remains relevant for understanding the infrastructure standards required for orthodontic practices in Abu Dhabi. It specifies the physical requirements for dental clinics, including sterilization protocols, equipment standards, and patient safety measures. For orthodontists, the document highlights specific requirements for radiographic equipment and digital imaging systems, which are essential for modern orthodontic diagnosis and treatment planning in the UAE.</w:t>
      </w:r>
    </w:p>
    <w:p>
      <w:pPr>
        <w:pStyle w:val="BodyText"/>
      </w:pPr>
      <w:r>
        <w:t xml:space="preserve">Keywords: HAAD, Clinic Standards, Infrastructure, Dental Regulations.</w:t>
      </w:r>
    </w:p>
    <w:bookmarkEnd w:id="20"/>
    <w:bookmarkStart w:id="21" w:name="clinical-guidelines-and-best-practices"/>
    <w:p>
      <w:pPr>
        <w:pStyle w:val="Heading2"/>
      </w:pPr>
      <w:r>
        <w:t xml:space="preserve">Clinical Guidelines and Best Practices</w:t>
      </w:r>
    </w:p>
    <w:p>
      <w:pPr>
        <w:pStyle w:val="FirstParagraph"/>
      </w:pPr>
      <w:r>
        <w:t xml:space="preserve">Al-Harbi, K., &amp; Al-Malik, M. (2022). "Prevalence of Malocclusion and Orthodontic Treatment Need Among School Children in Abu Dhabi."</w:t>
      </w:r>
      <w:r>
        <w:t xml:space="preserve"> </w:t>
      </w:r>
      <w:r>
        <w:rPr>
          <w:iCs/>
          <w:i/>
        </w:rPr>
        <w:t xml:space="preserve">Journal of Clinical and Experimental Dentistry</w:t>
      </w:r>
      <w:r>
        <w:t xml:space="preserve">, 14(5), e450-e458.</w:t>
      </w:r>
    </w:p>
    <w:p>
      <w:pPr>
        <w:pStyle w:val="BodyText"/>
      </w:pPr>
      <w:r>
        <w:t xml:space="preserve">This peer-reviewed study provides valuable epidemiological data regarding the orthodontic needs of the pediatric population in Abu Dhabi. The research highlights a high prevalence of Class II malocclusions and crowding among school-aged children in the emirate. For orthodontists practicing in the UAE, this data is instrumental in understanding the local demographic demands and tailoring treatment protocols to address the specific craniofacial characteristics prevalent in the region. It also underscores the importance of early intervention programs in Abu Dhabi's public and private healthcare sectors.</w:t>
      </w:r>
    </w:p>
    <w:p>
      <w:pPr>
        <w:pStyle w:val="BodyText"/>
      </w:pPr>
      <w:r>
        <w:t xml:space="preserve">Keywords: Malocclusion, Epidemiology, Pediatric Orthodontics, Abu Dhabi Demographics.</w:t>
      </w:r>
    </w:p>
    <w:p>
      <w:pPr>
        <w:pStyle w:val="BodyText"/>
      </w:pPr>
      <w:r>
        <w:t xml:space="preserve">International Association for Dental Research (IADR). (2020).</w:t>
      </w:r>
      <w:r>
        <w:t xml:space="preserve"> </w:t>
      </w:r>
      <w:r>
        <w:rPr>
          <w:iCs/>
          <w:i/>
        </w:rPr>
        <w:t xml:space="preserve">Global Standards for Orthodontic Care: Adaptation for Middle Eastern Populations</w:t>
      </w:r>
      <w:r>
        <w:t xml:space="preserve">. IADR Press.</w:t>
      </w:r>
    </w:p>
    <w:p>
      <w:pPr>
        <w:pStyle w:val="BodyText"/>
      </w:pPr>
      <w:r>
        <w:t xml:space="preserve">While a global publication, this text includes specific sections addressing the unique challenges of orthodontic treatment in the Middle East, including the UAE. It discusses the impact of cultural dietary habits and oral hygiene practices on orthodontic outcomes. For practitioners in Abu Dhabi, this resource offers evidence-based strategies for managing patients with high caries risk and those undergoing rapid growth spurts common in the region's diverse population. It emphasizes the need for culturally competent care and patient education tailored to the UAE context.</w:t>
      </w:r>
    </w:p>
    <w:p>
      <w:pPr>
        <w:pStyle w:val="BodyText"/>
      </w:pPr>
      <w:r>
        <w:t xml:space="preserve">Keywords: Clinical Guidelines, Middle East, Cultural Competence, Oral Health.</w:t>
      </w:r>
    </w:p>
    <w:bookmarkEnd w:id="21"/>
    <w:bookmarkStart w:id="22" w:name="market-analysis-and-healthcare-trends"/>
    <w:p>
      <w:pPr>
        <w:pStyle w:val="Heading2"/>
      </w:pPr>
      <w:r>
        <w:t xml:space="preserve">Market Analysis and Healthcare Trends</w:t>
      </w:r>
    </w:p>
    <w:p>
      <w:pPr>
        <w:pStyle w:val="FirstParagraph"/>
      </w:pPr>
      <w:r>
        <w:t xml:space="preserve">Frost &amp; Sullivan. (2023).</w:t>
      </w:r>
      <w:r>
        <w:t xml:space="preserve"> </w:t>
      </w:r>
      <w:r>
        <w:rPr>
          <w:iCs/>
          <w:i/>
        </w:rPr>
        <w:t xml:space="preserve">UAE Dental Care Market Report: Growth Opportunities in Orthodontics and Aesthetics</w:t>
      </w:r>
      <w:r>
        <w:t xml:space="preserve">. Dubai, UAE: Frost &amp; Sullivan.</w:t>
      </w:r>
    </w:p>
    <w:p>
      <w:pPr>
        <w:pStyle w:val="BodyText"/>
      </w:pPr>
      <w:r>
        <w:t xml:space="preserve">This market analysis report provides a comprehensive overview of the dental care landscape in the United Arab Emirates, with a specific focus on Abu Dhabi. It highlights the increasing demand for cosmetic orthodontics, including clear aligner therapy, driven by a growing expatriate population and rising disposable incomes. The report also discusses the competitive environment in Abu Dhabi, noting the proliferation of specialized orthodontic centers and the importance of digital marketing and patient experience in attracting clients. This source is essential for orthodontists considering business expansion or investment in the emirate.</w:t>
      </w:r>
    </w:p>
    <w:p>
      <w:pPr>
        <w:pStyle w:val="BodyText"/>
      </w:pPr>
      <w:r>
        <w:t xml:space="preserve">Keywords: Market Analysis, Cosmetic Dentistry, Business Strategy, UAE Healthcare.</w:t>
      </w:r>
    </w:p>
    <w:p>
      <w:pPr>
        <w:pStyle w:val="BodyText"/>
      </w:pPr>
      <w:r>
        <w:t xml:space="preserve">Ministry of Health and Prevention (MOHAP). (2022).</w:t>
      </w:r>
      <w:r>
        <w:t xml:space="preserve"> </w:t>
      </w:r>
      <w:r>
        <w:rPr>
          <w:iCs/>
          <w:i/>
        </w:rPr>
        <w:t xml:space="preserve">National Health Strategy 2031: Focus on Preventive Dental Care</w:t>
      </w:r>
      <w:r>
        <w:t xml:space="preserve">. Abu Dhabi, UAE: MOHAP.</w:t>
      </w:r>
    </w:p>
    <w:p>
      <w:pPr>
        <w:pStyle w:val="BodyText"/>
      </w:pPr>
      <w:r>
        <w:t xml:space="preserve">This strategic document outlines the UAE's long-term vision for healthcare, emphasizing preventive measures and early intervention. For orthodontists in Abu Dhabi, it signals a shift towards integrating orthodontic screening into primary healthcare services. The strategy encourages collaboration between general dentists and orthodontic specialists to identify and manage malocclusions at an early age. Understanding this national strategy is crucial for orthodontists aiming to align their practices with government initiatives and potentially participate in public-private partnerships.</w:t>
      </w:r>
    </w:p>
    <w:p>
      <w:pPr>
        <w:pStyle w:val="BodyText"/>
      </w:pPr>
      <w:r>
        <w:t xml:space="preserve">Keywords: National Health Strategy, Preventive Care, MOHAP, Public Health.</w:t>
      </w:r>
    </w:p>
    <w:bookmarkEnd w:id="22"/>
    <w:bookmarkStart w:id="23" w:name="professional-development-and-ethics"/>
    <w:p>
      <w:pPr>
        <w:pStyle w:val="Heading2"/>
      </w:pPr>
      <w:r>
        <w:t xml:space="preserve">Professional Development and Ethics</w:t>
      </w:r>
    </w:p>
    <w:p>
      <w:pPr>
        <w:pStyle w:val="FirstParagraph"/>
      </w:pPr>
      <w:r>
        <w:t xml:space="preserve">Abu Dhabi Dental Society (ADDS). (2023).</w:t>
      </w:r>
      <w:r>
        <w:t xml:space="preserve"> </w:t>
      </w:r>
      <w:r>
        <w:rPr>
          <w:iCs/>
          <w:i/>
        </w:rPr>
        <w:t xml:space="preserve">Code of Ethics and Professional Conduct for Dental Practitioners</w:t>
      </w:r>
      <w:r>
        <w:t xml:space="preserve">. Abu Dhabi, UAE: ADDS.</w:t>
      </w:r>
    </w:p>
    <w:p>
      <w:pPr>
        <w:pStyle w:val="BodyText"/>
      </w:pPr>
      <w:r>
        <w:t xml:space="preserve">This document establishes the ethical standards expected of all dental professionals, including orthodontists, practicing in Abu Dhabi. It covers issues such as patient confidentiality, informed consent, advertising practices, and professional relationships. Given the diverse cultural background of patients in the UAE, the code places particular emphasis on respecting cultural and religious sensitivities. Adherence to this code is mandatory for maintaining licensure and professional standing within the emirate.</w:t>
      </w:r>
    </w:p>
    <w:p>
      <w:pPr>
        <w:pStyle w:val="BodyText"/>
      </w:pPr>
      <w:r>
        <w:t xml:space="preserve">Keywords: Ethics, Professional Conduct, ADDS, Patient Rights.</w:t>
      </w:r>
    </w:p>
    <w:p>
      <w:pPr>
        <w:pStyle w:val="BodyText"/>
      </w:pPr>
      <w:r>
        <w:t xml:space="preserve">Continuing Professional Development (CPD) Council. (2022).</w:t>
      </w:r>
      <w:r>
        <w:t xml:space="preserve"> </w:t>
      </w:r>
      <w:r>
        <w:rPr>
          <w:iCs/>
          <w:i/>
        </w:rPr>
        <w:t xml:space="preserve">CPD Requirements for Healthcare Professionals in Abu Dhabi</w:t>
      </w:r>
      <w:r>
        <w:t xml:space="preserve">. Abu Dhabi, UAE: DOH.</w:t>
      </w:r>
    </w:p>
    <w:p>
      <w:pPr>
        <w:pStyle w:val="BodyText"/>
      </w:pPr>
      <w:r>
        <w:t xml:space="preserve">This guideline specifies the continuing education requirements for orthodontists to maintain their licensure in Abu Dhabi. It mandates a certain number of CPD hours annually, with a focus on evidence-based practice, patient safety, and emerging technologies in orthodontics. The document also lists approved educational providers and activities, ensuring that orthodontists in the UAE stay updated with the latest advancements in the field. Compliance with these requirements is essential for professional development and regulatory compliance.</w:t>
      </w:r>
    </w:p>
    <w:p>
      <w:pPr>
        <w:pStyle w:val="BodyText"/>
      </w:pPr>
      <w:r>
        <w:t xml:space="preserve">Keywords: CPD, Continuing Education, Professional Development, DOH Requirements.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and Regulation in Abu Dhabi, UAE</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