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f4e01064edcca4e31e888eeda4375a013cd5f78"/>
    <w:p>
      <w:pPr>
        <w:pStyle w:val="Heading1"/>
      </w:pPr>
      <w:r>
        <w:t xml:space="preserve">Annotated Bibliography: Physiotherapy Practice and Regulation in Auckland, New Zealand</w:t>
      </w:r>
    </w:p>
    <w:p>
      <w:pPr>
        <w:pStyle w:val="FirstParagraph"/>
      </w:pPr>
      <w:r>
        <w:t xml:space="preserve">This annotated bibliography provides a comprehensive overview of key resources regarding the profession of the physiotherapist within the specific context of Auckland, New Zealand. It covers regulatory frameworks, cultural competency requirements, workforce demographics, and clinical practice guidelines relevant to the region.</w:t>
      </w:r>
    </w:p>
    <w:bookmarkStart w:id="20" w:name="regulatory-and-professional-standards"/>
    <w:p>
      <w:pPr>
        <w:pStyle w:val="Heading2"/>
      </w:pPr>
      <w:r>
        <w:t xml:space="preserve">Regulatory and Professional Standards</w:t>
      </w:r>
    </w:p>
    <w:p>
      <w:pPr>
        <w:pStyle w:val="FirstParagraph"/>
      </w:pPr>
      <w:r>
        <w:t xml:space="preserve">Physiotherapy Board of New Zealand. (2023).</w:t>
      </w:r>
      <w:r>
        <w:t xml:space="preserve"> </w:t>
      </w:r>
      <w:r>
        <w:rPr>
          <w:iCs/>
          <w:i/>
        </w:rPr>
        <w:t xml:space="preserve">Standards of Practice for Physiotherapists</w:t>
      </w:r>
      <w:r>
        <w:t xml:space="preserve">. Wellington: Health and Disability Commissioner.</w:t>
      </w:r>
    </w:p>
    <w:p>
      <w:pPr>
        <w:pStyle w:val="BodyText"/>
      </w:pPr>
      <w:r>
        <w:t xml:space="preserve">This document is the foundational text for any physiotherapist practicing in New Zealand, including the Auckland region. It outlines the mandatory standards for professional conduct, clinical competence, and continuing professional development. For a physiotherapist working in Auckland, understanding these standards is critical as they dictate the scope of practice and the legal obligations regarding patient safety and confidentiality. The standards emphasize evidence-based practice and the necessity of maintaining up-to-date skills, which is particularly relevant in Auckland's diverse and fast-paced healthcare environment.</w:t>
      </w:r>
    </w:p>
    <w:p>
      <w:pPr>
        <w:pStyle w:val="BodyText"/>
      </w:pPr>
      <w:r>
        <w:t xml:space="preserve">New Zealand Physiotherapy Association. (2022).</w:t>
      </w:r>
      <w:r>
        <w:t xml:space="preserve"> </w:t>
      </w:r>
      <w:r>
        <w:rPr>
          <w:iCs/>
          <w:i/>
        </w:rPr>
        <w:t xml:space="preserve">Code of Ethics and Professional Conduct</w:t>
      </w:r>
      <w:r>
        <w:t xml:space="preserve">. Auckland: NZPA.</w:t>
      </w:r>
    </w:p>
    <w:p>
      <w:pPr>
        <w:pStyle w:val="BodyText"/>
      </w:pPr>
      <w:r>
        <w:t xml:space="preserve">As the primary professional body based in Auckland, the NZPA provides this code to guide ethical decision-making. This resource is essential for physiotherapists navigating complex ethical dilemmas common in urban healthcare settings. It addresses issues such as informed consent, professional boundaries, and advocacy. For practitioners in Auckland, this code serves as a practical tool for aligning daily clinical decisions with the broader expectations of the New Zealand healthcare system and the specific cultural nuances of the local population.</w:t>
      </w:r>
    </w:p>
    <w:bookmarkEnd w:id="20"/>
    <w:bookmarkStart w:id="21" w:name="X4611a83021b6ea9f7ad9f1d68db9b3900abb2ad"/>
    <w:p>
      <w:pPr>
        <w:pStyle w:val="Heading2"/>
      </w:pPr>
      <w:r>
        <w:t xml:space="preserve">Cultural Competency and Te Tiriti o Waitangi</w:t>
      </w:r>
    </w:p>
    <w:p>
      <w:pPr>
        <w:pStyle w:val="FirstParagraph"/>
      </w:pPr>
      <w:r>
        <w:t xml:space="preserve">Ministry of Health. (2021).</w:t>
      </w:r>
      <w:r>
        <w:t xml:space="preserve"> </w:t>
      </w:r>
      <w:r>
        <w:rPr>
          <w:iCs/>
          <w:i/>
        </w:rPr>
        <w:t xml:space="preserve">Te Tiriti o Waitangi and Health: A Guide for Health Professionals</w:t>
      </w:r>
      <w:r>
        <w:t xml:space="preserve">. Wellington: Ministry of Health.</w:t>
      </w:r>
    </w:p>
    <w:p>
      <w:pPr>
        <w:pStyle w:val="BodyText"/>
      </w:pPr>
      <w:r>
        <w:t xml:space="preserve">This guide is indispensable for physiotherapists in New Zealand, particularly in Auckland, which has the largest Māori population in the country. It explains the obligations of health professionals under Te Tiriti o Waitangi (The Treaty of Waitangi). For a physiotherapist, this means understanding how to provide culturally safe care that respects Māori values, beliefs, and practices. The document provides strategies for reducing health disparities and improving health outcomes for Māori patients, which is a key performance indicator for healthcare providers in the Auckland District Health Board area.</w:t>
      </w:r>
    </w:p>
    <w:p>
      <w:pPr>
        <w:pStyle w:val="BodyText"/>
      </w:pPr>
      <w:r>
        <w:t xml:space="preserve">Auckland District Health Board. (2020).</w:t>
      </w:r>
      <w:r>
        <w:t xml:space="preserve"> </w:t>
      </w:r>
      <w:r>
        <w:rPr>
          <w:iCs/>
          <w:i/>
        </w:rPr>
        <w:t xml:space="preserve">Cultural Safety Framework for Health Professionals</w:t>
      </w:r>
      <w:r>
        <w:t xml:space="preserve">. Auckland: ADHB.</w:t>
      </w:r>
    </w:p>
    <w:p>
      <w:pPr>
        <w:pStyle w:val="BodyText"/>
      </w:pPr>
      <w:r>
        <w:t xml:space="preserve">This framework is specifically tailored to the Auckland context, addressing the unique multicultural demographics of the region. It provides physiotherapists with practical tools to engage with patients from diverse ethnic backgrounds, including Pasifika, Asian, and Middle Eastern communities. The document highlights the importance of language access, cultural humility, and community engagement. For a physiotherapist in Auckland, this resource is crucial for developing effective therapeutic relationships and ensuring that rehabilitation plans are culturally appropriate and accessible.</w:t>
      </w:r>
    </w:p>
    <w:bookmarkEnd w:id="21"/>
    <w:bookmarkStart w:id="22" w:name="workforce-and-clinical-practice"/>
    <w:p>
      <w:pPr>
        <w:pStyle w:val="Heading2"/>
      </w:pPr>
      <w:r>
        <w:t xml:space="preserve">Workforce and Clinical Practice</w:t>
      </w:r>
    </w:p>
    <w:p>
      <w:pPr>
        <w:pStyle w:val="FirstParagraph"/>
      </w:pPr>
      <w:r>
        <w:t xml:space="preserve">Workforce New Zealand. (2023).</w:t>
      </w:r>
      <w:r>
        <w:t xml:space="preserve"> </w:t>
      </w:r>
      <w:r>
        <w:rPr>
          <w:iCs/>
          <w:i/>
        </w:rPr>
        <w:t xml:space="preserve">Physiotherapy Workforce Report: Regional Analysis</w:t>
      </w:r>
      <w:r>
        <w:t xml:space="preserve">. Wellington: Workforce NZ.</w:t>
      </w:r>
    </w:p>
    <w:p>
      <w:pPr>
        <w:pStyle w:val="BodyText"/>
      </w:pPr>
      <w:r>
        <w:t xml:space="preserve">This report offers valuable insights into the supply and demand of physiotherapists in New Zealand, with specific data for the Auckland region. It highlights trends in workforce distribution, specialization, and employment settings. For physiotherapists considering practice in Auckland, this document provides information on job opportunities, potential shortages in specific areas, and the competitive landscape. It also discusses the impact of migration and international registration on the local workforce, which is relevant for overseas-trained physiotherapists seeking to practice in New Zealand.</w:t>
      </w:r>
    </w:p>
    <w:p>
      <w:pPr>
        <w:pStyle w:val="BodyText"/>
      </w:pPr>
      <w:r>
        <w:t xml:space="preserve">Royal Australasian College of Physicians. (2022).</w:t>
      </w:r>
      <w:r>
        <w:t xml:space="preserve"> </w:t>
      </w:r>
      <w:r>
        <w:rPr>
          <w:iCs/>
          <w:i/>
        </w:rPr>
        <w:t xml:space="preserve">Guidelines for Musculoskeletal Pain Management in Primary Care</w:t>
      </w:r>
      <w:r>
        <w:t xml:space="preserve">. Melbourne: RACP.</w:t>
      </w:r>
    </w:p>
    <w:p>
      <w:pPr>
        <w:pStyle w:val="BodyText"/>
      </w:pPr>
      <w:r>
        <w:t xml:space="preserve">While not exclusively focused on New Zealand, these guidelines are widely adopted in Auckland's primary care settings. They provide evidence-based recommendations for the assessment and management of musculoskeletal conditions, which form a significant part of a physiotherapist's workload. The guidelines emphasize a biopsychosocial approach and the importance of multidisciplinary collaboration. For physiotherapists in Auckland, this resource supports the development of effective treatment plans and facilitates communication with general practitioners and other healthcare providers.</w:t>
      </w:r>
    </w:p>
    <w:p>
      <w:pPr>
        <w:pStyle w:val="BodyText"/>
      </w:pPr>
      <w:r>
        <w:t xml:space="preserve">Health Quality &amp; Safety Commission. (2021).</w:t>
      </w:r>
      <w:r>
        <w:t xml:space="preserve"> </w:t>
      </w:r>
      <w:r>
        <w:rPr>
          <w:iCs/>
          <w:i/>
        </w:rPr>
        <w:t xml:space="preserve">Improving Safety in Physiotherapy Practice</w:t>
      </w:r>
      <w:r>
        <w:t xml:space="preserve">. Wellington: HQSC.</w:t>
      </w:r>
    </w:p>
    <w:p>
      <w:pPr>
        <w:pStyle w:val="BodyText"/>
      </w:pPr>
      <w:r>
        <w:t xml:space="preserve">This publication focuses on risk management and patient safety in physiotherapy. It addresses common risks such as falls, manual handling injuries, and equipment-related incidents. For physiotherapists in Auckland, this document is essential for maintaining a safe practice environment and complying with national safety standards. It provides practical strategies for identifying and mitigating risks, which is particularly important in busy urban clinics and hospital settings.</w:t>
      </w:r>
    </w:p>
    <w:p>
      <w:pPr>
        <w:pStyle w:val="BodyText"/>
      </w:pPr>
      <w:r>
        <w:t xml:space="preserve">University of Auckland. (2023).</w:t>
      </w:r>
      <w:r>
        <w:t xml:space="preserve"> </w:t>
      </w:r>
      <w:r>
        <w:rPr>
          <w:iCs/>
          <w:i/>
        </w:rPr>
        <w:t xml:space="preserve">Research in Physiotherapy: Local and Global Perspectives</w:t>
      </w:r>
      <w:r>
        <w:t xml:space="preserve">. Auckland: University of Auckland Press.</w:t>
      </w:r>
    </w:p>
    <w:p>
      <w:pPr>
        <w:pStyle w:val="BodyText"/>
      </w:pPr>
      <w:r>
        <w:t xml:space="preserve">This collection of research papers highlights the contributions of Auckland-based physiotherapists to the global understanding of musculoskeletal health, rehabilitation, and sports medicine. It showcases innovative practices and clinical trials conducted in the region. For physiotherapists in Auckland, this resource provides access to cutting-edge research and encourages evidence-based practice. It also serves as a platform for professional development and networking within the local academic and clinical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Auckland, New Zealand</dc:title>
  <dc:creator/>
  <dc:language>en</dc:language>
  <cp:keywords/>
  <dcterms:created xsi:type="dcterms:W3CDTF">2026-08-07T06:34:59Z</dcterms:created>
  <dcterms:modified xsi:type="dcterms:W3CDTF">2026-08-07T06:34:59Z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