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Subject: The Role and Influence of the Politician in the Governance of Tehran, Iran</w:t>
      </w:r>
    </w:p>
    <w:bookmarkEnd w:id="20"/>
    <w:p>
      <w:pPr>
        <w:pStyle w:val="BodyText"/>
      </w:pPr>
      <w:r>
        <w:t xml:space="preserve">The political landscape of Tehran, the capital of the Islamic Republic of Iran, is characterized by a complex interplay between central religious authority and local municipal governance. Understanding the</w:t>
      </w:r>
      <w:r>
        <w:t xml:space="preserve"> </w:t>
      </w:r>
      <w:r>
        <w:rPr>
          <w:bCs/>
          <w:b/>
        </w:rPr>
        <w:t xml:space="preserve">politician</w:t>
      </w:r>
      <w:r>
        <w:t xml:space="preserve"> </w:t>
      </w:r>
      <w:r>
        <w:t xml:space="preserve">in this context requires examining figures who navigate the dual demands of the Supreme Leader's directives and the immediate socio-economic needs of Tehran's ten million residents. This annotated bibliography compiles essential academic and journalistic resources that analyze the evolution of political leadership in Tehran, focusing on the Tehran City Council, the Mayor's office, and the broader implications of local politics on national policy.</w:t>
      </w:r>
    </w:p>
    <w:bookmarkStart w:id="23" w:name="Xf25479d178e18a092ed5adaa19fde075fcf66f4"/>
    <w:p>
      <w:pPr>
        <w:pStyle w:val="Heading2"/>
      </w:pPr>
      <w:r>
        <w:t xml:space="preserve">Introduction to Tehran's Political Structure</w:t>
      </w:r>
    </w:p>
    <w:bookmarkStart w:id="21" w:name="the-structure-of-power"/>
    <w:p>
      <w:pPr>
        <w:pStyle w:val="Heading3"/>
      </w:pPr>
      <w:r>
        <w:t xml:space="preserve">1. The Structure of Power</w:t>
      </w:r>
    </w:p>
    <w:p>
      <w:pPr>
        <w:pStyle w:val="FirstParagraph"/>
      </w:pPr>
      <w:r>
        <w:t xml:space="preserve">Abrahamian, E. (2013).</w:t>
      </w:r>
      <w:r>
        <w:t xml:space="preserve"> </w:t>
      </w:r>
      <w:r>
        <w:rPr>
          <w:iCs/>
          <w:i/>
        </w:rPr>
        <w:t xml:space="preserve">A History of Modern Iran</w:t>
      </w:r>
      <w:r>
        <w:t xml:space="preserve"> </w:t>
      </w:r>
      <w:r>
        <w:t xml:space="preserve">(2nd ed.). Cambridge University Press.</w:t>
      </w:r>
    </w:p>
    <w:p>
      <w:pPr>
        <w:pStyle w:val="BodyText"/>
      </w:pPr>
      <w:r>
        <w:t xml:space="preserve">Ervand Abrahamian’s seminal work provides the foundational historical context necessary to understand the modern</w:t>
      </w:r>
      <w:r>
        <w:t xml:space="preserve"> </w:t>
      </w:r>
      <w:r>
        <w:rPr>
          <w:bCs/>
          <w:b/>
        </w:rPr>
        <w:t xml:space="preserve">politician</w:t>
      </w:r>
      <w:r>
        <w:t xml:space="preserve"> </w:t>
      </w:r>
      <w:r>
        <w:t xml:space="preserve">in Iran. While not exclusively focused on Tehran, this text elucidates the transition from the Pahlavi monarchy to the Islamic Republic, a shift that fundamentally redefined political legitimacy. For researchers studying Tehran, this book is crucial for understanding how the centralization of power in the capital has historically marginalized local autonomy. It explains the ideological constraints under which contemporary Tehran politicians operate, highlighting the tension between secular urban governance and theocratic oversight.</w:t>
      </w:r>
    </w:p>
    <w:bookmarkEnd w:id="21"/>
    <w:bookmarkStart w:id="22" w:name="urban-governance-and-the-mayor"/>
    <w:p>
      <w:pPr>
        <w:pStyle w:val="Heading3"/>
      </w:pPr>
      <w:r>
        <w:t xml:space="preserve">2. Urban Governance and the Mayor</w:t>
      </w:r>
    </w:p>
    <w:p>
      <w:pPr>
        <w:pStyle w:val="FirstParagraph"/>
      </w:pPr>
      <w:r>
        <w:t xml:space="preserve">Mir-Hosseini, Z. (2011). "Women and the State in Iran: The Case of Tehran." In</w:t>
      </w:r>
      <w:r>
        <w:t xml:space="preserve"> </w:t>
      </w:r>
      <w:r>
        <w:rPr>
          <w:iCs/>
          <w:i/>
        </w:rPr>
        <w:t xml:space="preserve">Women and Politics in the Middle East</w:t>
      </w:r>
      <w:r>
        <w:t xml:space="preserve">. Syracuse University Press.</w:t>
      </w:r>
    </w:p>
    <w:p>
      <w:pPr>
        <w:pStyle w:val="BodyText"/>
      </w:pPr>
      <w:r>
        <w:t xml:space="preserve">This chapter offers a critical analysis of how gender and social policy influence the role of the</w:t>
      </w:r>
      <w:r>
        <w:t xml:space="preserve"> </w:t>
      </w:r>
      <w:r>
        <w:rPr>
          <w:bCs/>
          <w:b/>
        </w:rPr>
        <w:t xml:space="preserve">politician</w:t>
      </w:r>
      <w:r>
        <w:t xml:space="preserve"> </w:t>
      </w:r>
      <w:r>
        <w:t xml:space="preserve">in</w:t>
      </w:r>
      <w:r>
        <w:t xml:space="preserve"> </w:t>
      </w:r>
      <w:r>
        <w:rPr>
          <w:bCs/>
          <w:b/>
        </w:rPr>
        <w:t xml:space="preserve">Tehran</w:t>
      </w:r>
      <w:r>
        <w:t xml:space="preserve">. Mir-Hosseini examines the municipal elections and the subsequent policies enacted by the Tehran City Council. The text is particularly relevant for understanding the "reformist" wave that swept through Tehran in the early 2000s, where local politicians attempted to implement progressive social policies within the rigid framework of the Islamic Republic. It serves as a primary resource for analyzing the limits of municipal power in Iran.</w:t>
      </w:r>
    </w:p>
    <w:bookmarkEnd w:id="22"/>
    <w:bookmarkEnd w:id="23"/>
    <w:bookmarkStart w:id="26" w:name="key-political-figures-and-movements"/>
    <w:p>
      <w:pPr>
        <w:pStyle w:val="Heading2"/>
      </w:pPr>
      <w:r>
        <w:t xml:space="preserve">Key Political Figures and Movements</w:t>
      </w:r>
    </w:p>
    <w:bookmarkStart w:id="24" w:name="the-reformist-era-in-tehran"/>
    <w:p>
      <w:pPr>
        <w:pStyle w:val="Heading3"/>
      </w:pPr>
      <w:r>
        <w:t xml:space="preserve">3. The Reformist Era in Tehran</w:t>
      </w:r>
    </w:p>
    <w:p>
      <w:pPr>
        <w:pStyle w:val="FirstParagraph"/>
      </w:pPr>
      <w:r>
        <w:t xml:space="preserve">Ashraf, A., &amp; Khalili, A. (2007).</w:t>
      </w:r>
      <w:r>
        <w:t xml:space="preserve"> </w:t>
      </w:r>
      <w:r>
        <w:rPr>
          <w:iCs/>
          <w:i/>
        </w:rPr>
        <w:t xml:space="preserve">The Politics of Iran: The Reformist Movement and Beyond</w:t>
      </w:r>
      <w:r>
        <w:t xml:space="preserve">. Routledge.</w:t>
      </w:r>
    </w:p>
    <w:p>
      <w:pPr>
        <w:pStyle w:val="BodyText"/>
      </w:pPr>
      <w:r>
        <w:t xml:space="preserve">Ashraf and Khalili provide an in-depth look at the reformist movement, which found its stronghold in</w:t>
      </w:r>
      <w:r>
        <w:t xml:space="preserve"> </w:t>
      </w:r>
      <w:r>
        <w:rPr>
          <w:bCs/>
          <w:b/>
        </w:rPr>
        <w:t xml:space="preserve">Tehran</w:t>
      </w:r>
      <w:r>
        <w:t xml:space="preserve">. This book is essential for profiling the</w:t>
      </w:r>
      <w:r>
        <w:t xml:space="preserve"> </w:t>
      </w:r>
      <w:r>
        <w:rPr>
          <w:bCs/>
          <w:b/>
        </w:rPr>
        <w:t xml:space="preserve">politician</w:t>
      </w:r>
      <w:r>
        <w:t xml:space="preserve"> </w:t>
      </w:r>
      <w:r>
        <w:t xml:space="preserve">who emerged during the presidency of Mohammad Khatami and the mayoralty of Mohammad Baqer Qalibaf. The authors detail how Tehran-based politicians utilized the city's infrastructure and media presence to challenge conservative narratives. The text is valuable for understanding the strategic alliances formed within the Tehran City Council and their impact on national political discourse.</w:t>
      </w:r>
    </w:p>
    <w:bookmarkEnd w:id="24"/>
    <w:bookmarkStart w:id="25" w:name="Xe914c2c570a9eb4673b9b95dc9ca02d5247e1bb"/>
    <w:p>
      <w:pPr>
        <w:pStyle w:val="Heading3"/>
      </w:pPr>
      <w:r>
        <w:t xml:space="preserve">4. Conservative Resurgence and Local Control</w:t>
      </w:r>
    </w:p>
    <w:p>
      <w:pPr>
        <w:pStyle w:val="FirstParagraph"/>
      </w:pPr>
      <w:r>
        <w:t xml:space="preserve">Nasr, V. (2006).</w:t>
      </w:r>
      <w:r>
        <w:t xml:space="preserve"> </w:t>
      </w:r>
      <w:r>
        <w:rPr>
          <w:iCs/>
          <w:i/>
        </w:rPr>
        <w:t xml:space="preserve">The Shia Revival: How Conflicts within Islam Will Shape the Future</w:t>
      </w:r>
      <w:r>
        <w:t xml:space="preserve">. W.W. Norton &amp; Company.</w:t>
      </w:r>
    </w:p>
    <w:p>
      <w:pPr>
        <w:pStyle w:val="BodyText"/>
      </w:pPr>
      <w:r>
        <w:t xml:space="preserve">Vali Nasr’s work, while broader in scope, contains significant insights into the conservative resurgence that eventually reclaimed control of</w:t>
      </w:r>
      <w:r>
        <w:t xml:space="preserve"> </w:t>
      </w:r>
      <w:r>
        <w:rPr>
          <w:bCs/>
          <w:b/>
        </w:rPr>
        <w:t xml:space="preserve">Tehran</w:t>
      </w:r>
      <w:r>
        <w:t xml:space="preserve">'s political apparatus. For the student of the Iranian</w:t>
      </w:r>
      <w:r>
        <w:t xml:space="preserve"> </w:t>
      </w:r>
      <w:r>
        <w:rPr>
          <w:bCs/>
          <w:b/>
        </w:rPr>
        <w:t xml:space="preserve">politician</w:t>
      </w:r>
      <w:r>
        <w:t xml:space="preserve">, this text explains the ideological motivations behind the shift away from reformist municipal policies. It highlights how conservative factions in Tehran leveraged religious institutions to consolidate power, offering a counter-narrative to the secular urbanization trends prevalent in the capital.</w:t>
      </w:r>
    </w:p>
    <w:bookmarkEnd w:id="25"/>
    <w:bookmarkEnd w:id="26"/>
    <w:bookmarkStart w:id="31" w:name="contemporary-issues-and-challenges"/>
    <w:p>
      <w:pPr>
        <w:pStyle w:val="Heading2"/>
      </w:pPr>
      <w:r>
        <w:t xml:space="preserve">Contemporary Issues and Challenges</w:t>
      </w:r>
    </w:p>
    <w:bookmarkStart w:id="27" w:name="environmental-policy-and-political-will"/>
    <w:p>
      <w:pPr>
        <w:pStyle w:val="Heading3"/>
      </w:pPr>
      <w:r>
        <w:t xml:space="preserve">5. Environmental Policy and Political Will</w:t>
      </w:r>
    </w:p>
    <w:p>
      <w:pPr>
        <w:pStyle w:val="FirstParagraph"/>
      </w:pPr>
      <w:r>
        <w:t xml:space="preserve">Yarahmadi, N. (2018). "Air Pollution and Political Accountability in Tehran."</w:t>
      </w:r>
      <w:r>
        <w:t xml:space="preserve"> </w:t>
      </w:r>
      <w:r>
        <w:rPr>
          <w:iCs/>
          <w:i/>
        </w:rPr>
        <w:t xml:space="preserve">Journal of Middle East Politics and Policy</w:t>
      </w:r>
      <w:r>
        <w:t xml:space="preserve">, 10(2), 145-162.</w:t>
      </w:r>
    </w:p>
    <w:p>
      <w:pPr>
        <w:pStyle w:val="BodyText"/>
      </w:pPr>
      <w:r>
        <w:t xml:space="preserve">This journal article focuses on a critical contemporary issue: air pollution in</w:t>
      </w:r>
      <w:r>
        <w:t xml:space="preserve"> </w:t>
      </w:r>
      <w:r>
        <w:rPr>
          <w:bCs/>
          <w:b/>
        </w:rPr>
        <w:t xml:space="preserve">Tehran</w:t>
      </w:r>
      <w:r>
        <w:t xml:space="preserve">. Yarahmadi analyzes the failure of various</w:t>
      </w:r>
      <w:r>
        <w:t xml:space="preserve"> </w:t>
      </w:r>
      <w:r>
        <w:rPr>
          <w:bCs/>
          <w:b/>
        </w:rPr>
        <w:t xml:space="preserve">politician</w:t>
      </w:r>
      <w:r>
        <w:t xml:space="preserve"> </w:t>
      </w:r>
      <w:r>
        <w:t xml:space="preserve">administrations to implement effective environmental policies due to bureaucratic fragmentation and economic prioritization. The study is highly relevant for understanding the practical limitations of local governance in Iran. It demonstrates how the role of the Tehran mayor is often constrained by national energy policies, making it a key text for assessing political efficacy in the capital.</w:t>
      </w:r>
    </w:p>
    <w:bookmarkEnd w:id="27"/>
    <w:bookmarkStart w:id="28" w:name="economic-sanctions-and-municipal-finance"/>
    <w:p>
      <w:pPr>
        <w:pStyle w:val="Heading3"/>
      </w:pPr>
      <w:r>
        <w:t xml:space="preserve">6. Economic Sanctions and Municipal Finance</w:t>
      </w:r>
    </w:p>
    <w:p>
      <w:pPr>
        <w:pStyle w:val="FirstParagraph"/>
      </w:pPr>
      <w:r>
        <w:t xml:space="preserve">Mohaddes, K., &amp; Raissi, M. (2020). "The Impact of Sanctions on Urban Development in Tehran."</w:t>
      </w:r>
      <w:r>
        <w:t xml:space="preserve"> </w:t>
      </w:r>
      <w:r>
        <w:rPr>
          <w:iCs/>
          <w:i/>
        </w:rPr>
        <w:t xml:space="preserve">Iranian Studies</w:t>
      </w:r>
      <w:r>
        <w:t xml:space="preserve">, 53(4), 589-610.</w:t>
      </w:r>
    </w:p>
    <w:p>
      <w:pPr>
        <w:pStyle w:val="BodyText"/>
      </w:pPr>
      <w:r>
        <w:t xml:space="preserve">Mohaddes and Raissi examine the economic pressures facing</w:t>
      </w:r>
      <w:r>
        <w:t xml:space="preserve"> </w:t>
      </w:r>
      <w:r>
        <w:rPr>
          <w:bCs/>
          <w:b/>
        </w:rPr>
        <w:t xml:space="preserve">Tehran</w:t>
      </w:r>
      <w:r>
        <w:t xml:space="preserve"> </w:t>
      </w:r>
      <w:r>
        <w:t xml:space="preserve">under international sanctions. This resource is vital for understanding the fiscal challenges confronting the modern Iranian</w:t>
      </w:r>
      <w:r>
        <w:t xml:space="preserve"> </w:t>
      </w:r>
      <w:r>
        <w:rPr>
          <w:bCs/>
          <w:b/>
        </w:rPr>
        <w:t xml:space="preserve">politician</w:t>
      </w:r>
      <w:r>
        <w:t xml:space="preserve">. The authors detail how budget cuts have affected public transportation, housing projects, and social services in the capital. The article provides empirical data on how political leaders in Tehran must navigate economic isolation while maintaining public order and service delivery.</w:t>
      </w:r>
    </w:p>
    <w:bookmarkEnd w:id="28"/>
    <w:bookmarkStart w:id="29" w:name="social-unrest-and-political-response"/>
    <w:p>
      <w:pPr>
        <w:pStyle w:val="Heading3"/>
      </w:pPr>
      <w:r>
        <w:t xml:space="preserve">7. Social Unrest and Political Response</w:t>
      </w:r>
    </w:p>
    <w:p>
      <w:pPr>
        <w:pStyle w:val="FirstParagraph"/>
      </w:pPr>
      <w:r>
        <w:t xml:space="preserve">Abrahamian, E. (2020). "The 2022 Protests in Iran: A Historical Perspective."</w:t>
      </w:r>
      <w:r>
        <w:t xml:space="preserve"> </w:t>
      </w:r>
      <w:r>
        <w:rPr>
          <w:iCs/>
          <w:i/>
        </w:rPr>
        <w:t xml:space="preserve">Middle East Report</w:t>
      </w:r>
      <w:r>
        <w:t xml:space="preserve">.</w:t>
      </w:r>
    </w:p>
    <w:p>
      <w:pPr>
        <w:pStyle w:val="BodyText"/>
      </w:pPr>
      <w:r>
        <w:t xml:space="preserve">This report analyzes the recent social unrest that originated in</w:t>
      </w:r>
      <w:r>
        <w:t xml:space="preserve"> </w:t>
      </w:r>
      <w:r>
        <w:rPr>
          <w:bCs/>
          <w:b/>
        </w:rPr>
        <w:t xml:space="preserve">Tehran</w:t>
      </w:r>
      <w:r>
        <w:t xml:space="preserve"> </w:t>
      </w:r>
      <w:r>
        <w:t xml:space="preserve">and spread nationwide. It offers a critical assessment of how the political establishment, including local</w:t>
      </w:r>
      <w:r>
        <w:t xml:space="preserve"> </w:t>
      </w:r>
      <w:r>
        <w:rPr>
          <w:bCs/>
          <w:b/>
        </w:rPr>
        <w:t xml:space="preserve">politician</w:t>
      </w:r>
      <w:r>
        <w:t xml:space="preserve">s in the capital, responded to public dissent. The text is essential for understanding the current crisis of legitimacy facing the Iranian government. It highlights the disconnect between the ruling elite in Tehran and the urban populace, providing a contemporary case study of political failure and resilience.</w:t>
      </w:r>
    </w:p>
    <w:bookmarkEnd w:id="29"/>
    <w:bookmarkStart w:id="30" w:name="the-future-of-political-representation"/>
    <w:p>
      <w:pPr>
        <w:pStyle w:val="Heading3"/>
      </w:pPr>
      <w:r>
        <w:t xml:space="preserve">8. The Future of Political Representation</w:t>
      </w:r>
    </w:p>
    <w:p>
      <w:pPr>
        <w:pStyle w:val="FirstParagraph"/>
      </w:pPr>
      <w:r>
        <w:t xml:space="preserve">Hafez, F. (2021). "Youth, Technology, and Political Mobilization in Tehran."</w:t>
      </w:r>
      <w:r>
        <w:t xml:space="preserve"> </w:t>
      </w:r>
      <w:r>
        <w:rPr>
          <w:iCs/>
          <w:i/>
        </w:rPr>
        <w:t xml:space="preserve">International Journal of Middle East Studies</w:t>
      </w:r>
      <w:r>
        <w:t xml:space="preserve">, 53(1), 112-130.</w:t>
      </w:r>
    </w:p>
    <w:p>
      <w:pPr>
        <w:pStyle w:val="BodyText"/>
      </w:pPr>
      <w:r>
        <w:t xml:space="preserve">Hafez explores the role of digital media in shaping political opinion among Tehran’s youth. This article is crucial for understanding the evolving nature of the</w:t>
      </w:r>
      <w:r>
        <w:t xml:space="preserve"> </w:t>
      </w:r>
      <w:r>
        <w:rPr>
          <w:bCs/>
          <w:b/>
        </w:rPr>
        <w:t xml:space="preserve">politician</w:t>
      </w:r>
      <w:r>
        <w:t xml:space="preserve"> </w:t>
      </w:r>
      <w:r>
        <w:t xml:space="preserve">in</w:t>
      </w:r>
      <w:r>
        <w:t xml:space="preserve"> </w:t>
      </w:r>
      <w:r>
        <w:rPr>
          <w:bCs/>
          <w:b/>
        </w:rPr>
        <w:t xml:space="preserve">Tehran</w:t>
      </w:r>
      <w:r>
        <w:t xml:space="preserve">, as traditional modes of political engagement are being challenged by online activism. The text suggests that future political leaders in Iran must adapt to a more digitally connected electorate. It provides a forward-looking perspective on how political communication and mobilization are changing in the capital.</w:t>
      </w:r>
    </w:p>
    <w:p>
      <w:pPr>
        <w:pStyle w:val="BodyText"/>
      </w:pPr>
      <w:r>
        <w:t xml:space="preserve">Document generated for academic reference regarding political science and urban governance in Iran.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Tehran, Iran</dc:title>
  <dc:creator/>
  <dc:language>en</dc:language>
  <cp:keywords/>
  <dcterms:created xsi:type="dcterms:W3CDTF">2026-08-07T00:57:47Z</dcterms:created>
  <dcterms:modified xsi:type="dcterms:W3CDTF">2026-08-07T00:57:47Z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