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Baghdad,</w:t>
      </w:r>
      <w:r>
        <w:t xml:space="preserve"> </w:t>
      </w:r>
      <w:r>
        <w:t xml:space="preserve">Iraq</w:t>
      </w:r>
    </w:p>
    <w:bookmarkStart w:id="20" w:name="annotated-bibliography"/>
    <w:p>
      <w:pPr>
        <w:pStyle w:val="Heading1"/>
      </w:pPr>
      <w:r>
        <w:t xml:space="preserve">Annotated Bibliography</w:t>
      </w:r>
    </w:p>
    <w:p>
      <w:pPr>
        <w:pStyle w:val="FirstParagraph"/>
      </w:pPr>
      <w:r>
        <w:t xml:space="preserve">Subject: The Role of the Politician in Contemporary Baghdad, Iraq</w:t>
      </w:r>
    </w:p>
    <w:bookmarkEnd w:id="20"/>
    <w:p>
      <w:pPr>
        <w:pStyle w:val="BodyText"/>
      </w:pPr>
      <w:r>
        <w:t xml:space="preserve">The political landscape of Baghdad, Iraq, is characterized by a complex interplay of sectarian identity, post-conflict reconstruction, and evolving democratic institutions. Understanding the modern Iraqi politician requires an examination of sources that address the structural challenges of the 2005 Constitution, the influence of political parties, and the socio-economic demands of the capital's population. The following annotated bibliography compiles essential texts that analyze the behavior, responsibilities, and systemic constraints of politicians operating within the specific context of Baghdad. These resources provide a factual foundation for understanding how political leadership in Iraq navigates the tension between national unity and factional interests.</w:t>
      </w:r>
    </w:p>
    <w:bookmarkStart w:id="23" w:name="X8e73607fd62838432c1ae88af5db462b4fe51d0"/>
    <w:p>
      <w:pPr>
        <w:pStyle w:val="Heading2"/>
      </w:pPr>
      <w:r>
        <w:t xml:space="preserve">Constitutional Framework and Political Structure</w:t>
      </w:r>
    </w:p>
    <w:bookmarkStart w:id="21" w:name="Xc0405daf6256e3c9979e98d72ff0a1dad52c3a1"/>
    <w:p>
      <w:pPr>
        <w:pStyle w:val="Heading3"/>
      </w:pPr>
      <w:r>
        <w:t xml:space="preserve">1. The 2005 Constitution and Power Distribution</w:t>
      </w:r>
    </w:p>
    <w:p>
      <w:pPr>
        <w:pStyle w:val="FirstParagraph"/>
      </w:pPr>
      <w:r>
        <w:t xml:space="preserve">Ansari, M. M. (2010).</w:t>
      </w:r>
      <w:r>
        <w:t xml:space="preserve"> </w:t>
      </w:r>
      <w:r>
        <w:rPr>
          <w:iCs/>
          <w:i/>
        </w:rPr>
        <w:t xml:space="preserve">The Politics of Iraq: Democracy, Islamism, and the New Generation</w:t>
      </w:r>
      <w:r>
        <w:t xml:space="preserve">. Routledge.</w:t>
      </w:r>
    </w:p>
    <w:p>
      <w:pPr>
        <w:pStyle w:val="BodyText"/>
      </w:pPr>
      <w:r>
        <w:t xml:space="preserve">This text provides a critical analysis of the political architecture established following the 2003 invasion. Ansari examines how the 2005 Constitution shaped the role of the politician in Baghdad by institutionalizing power-sharing mechanisms based on sectarian and ethnic quotas. For a reader interested in Iraqi politics, this source is vital as it explains why politicians in Baghdad often prioritize communal representation over national policy. It details the formation of the Council of Representatives and the executive branch, offering insight into the procedural hurdles politicians face when attempting to implement reforms in the capital.</w:t>
      </w:r>
    </w:p>
    <w:bookmarkEnd w:id="21"/>
    <w:bookmarkStart w:id="22" w:name="the-evolution-of-the-iraqi-state"/>
    <w:p>
      <w:pPr>
        <w:pStyle w:val="Heading3"/>
      </w:pPr>
      <w:r>
        <w:t xml:space="preserve">2. The Evolution of the Iraqi State</w:t>
      </w:r>
    </w:p>
    <w:p>
      <w:pPr>
        <w:pStyle w:val="FirstParagraph"/>
      </w:pPr>
      <w:r>
        <w:t xml:space="preserve">Tripp, C. (2007).</w:t>
      </w:r>
      <w:r>
        <w:t xml:space="preserve"> </w:t>
      </w:r>
      <w:r>
        <w:rPr>
          <w:iCs/>
          <w:i/>
        </w:rPr>
        <w:t xml:space="preserve">A History of Iraq</w:t>
      </w:r>
      <w:r>
        <w:t xml:space="preserve">. Cambridge University Press.</w:t>
      </w:r>
    </w:p>
    <w:p>
      <w:pPr>
        <w:pStyle w:val="BodyText"/>
      </w:pPr>
      <w:r>
        <w:t xml:space="preserve">Tripp’s comprehensive history offers the necessary background to understand the modern Iraqi politician. By tracing the state from the Ottoman era through the Ba'athist regime to the current democratic experiment, the book highlights the legacy of centralized authoritarianism. This context is crucial for Baghdad-based political analysis, as it explains the deep-seated mistrust of state institutions among the populace. The text elucidates how contemporary politicians in Iraq must navigate a society where the state has historically been viewed as an instrument of oppression rather than service, influencing their strategies for legitimacy and governance.</w:t>
      </w:r>
    </w:p>
    <w:bookmarkEnd w:id="22"/>
    <w:bookmarkEnd w:id="23"/>
    <w:bookmarkStart w:id="26" w:name="political-parties-and-sectarian-dynamics"/>
    <w:p>
      <w:pPr>
        <w:pStyle w:val="Heading2"/>
      </w:pPr>
      <w:r>
        <w:t xml:space="preserve">Political Parties and Sectarian Dynamics</w:t>
      </w:r>
    </w:p>
    <w:bookmarkStart w:id="24" w:name="the-influence-of-political-blocs"/>
    <w:p>
      <w:pPr>
        <w:pStyle w:val="Heading3"/>
      </w:pPr>
      <w:r>
        <w:t xml:space="preserve">3. The Influence of Political Blocs</w:t>
      </w:r>
    </w:p>
    <w:p>
      <w:pPr>
        <w:pStyle w:val="FirstParagraph"/>
      </w:pPr>
      <w:r>
        <w:t xml:space="preserve">Lynch, M. (2012).</w:t>
      </w:r>
      <w:r>
        <w:t xml:space="preserve"> </w:t>
      </w:r>
      <w:r>
        <w:rPr>
          <w:iCs/>
          <w:i/>
        </w:rPr>
        <w:t xml:space="preserve">The New Politics of Iraq: The Struggle for a Democratic State</w:t>
      </w:r>
      <w:r>
        <w:t xml:space="preserve">. Hurst &amp; Company.</w:t>
      </w:r>
    </w:p>
    <w:p>
      <w:pPr>
        <w:pStyle w:val="BodyText"/>
      </w:pPr>
      <w:r>
        <w:t xml:space="preserve">Lynch focuses specifically on the mechanics of political parties in post-2003 Iraq. This source is essential for understanding the "list system" that dominates elections in Baghdad. It analyzes how politicians are often beholden to party leaders and sectarian blocs rather than their constituents. The book provides detailed case studies of major political alliances, illustrating how resource allocation and ministerial appointments in Baghdad are negotiated behind closed doors. It serves as a factual guide to the patronage networks that define the career of a politician in the Iraqi capital.</w:t>
      </w:r>
    </w:p>
    <w:bookmarkEnd w:id="24"/>
    <w:bookmarkStart w:id="25" w:name="militias-and-political-power"/>
    <w:p>
      <w:pPr>
        <w:pStyle w:val="Heading3"/>
      </w:pPr>
      <w:r>
        <w:t xml:space="preserve">4. Militias and Political Power</w:t>
      </w:r>
    </w:p>
    <w:p>
      <w:pPr>
        <w:pStyle w:val="FirstParagraph"/>
      </w:pPr>
      <w:r>
        <w:t xml:space="preserve">Pech, L. (2014).</w:t>
      </w:r>
      <w:r>
        <w:t xml:space="preserve"> </w:t>
      </w:r>
      <w:r>
        <w:rPr>
          <w:iCs/>
          <w:i/>
        </w:rPr>
        <w:t xml:space="preserve">Armed Groups and the State in Iraq</w:t>
      </w:r>
      <w:r>
        <w:t xml:space="preserve">. International Crisis Group.</w:t>
      </w:r>
    </w:p>
    <w:p>
      <w:pPr>
        <w:pStyle w:val="BodyText"/>
      </w:pPr>
      <w:r>
        <w:t xml:space="preserve">This report examines the intersection of armed groups and formal political structures in Baghdad. It is a critical resource for understanding the security dimension of Iraqi politics. The document details how certain politicians leverage militia support to maintain power and influence legislative outcomes. For an analysis of the Iraqi politician, this source highlights the dual nature of authority in Baghdad, where political legitimacy is sometimes reinforced by coercive power. It provides data on how these dynamics affect governance, stability, and the rule of law in the capital city.</w:t>
      </w:r>
    </w:p>
    <w:bookmarkEnd w:id="25"/>
    <w:bookmarkEnd w:id="26"/>
    <w:bookmarkStart w:id="29" w:name="corruption-governance-and-reform"/>
    <w:p>
      <w:pPr>
        <w:pStyle w:val="Heading2"/>
      </w:pPr>
      <w:r>
        <w:t xml:space="preserve">Corruption, Governance, and Reform</w:t>
      </w:r>
    </w:p>
    <w:bookmarkStart w:id="27" w:name="systemic-corruption"/>
    <w:p>
      <w:pPr>
        <w:pStyle w:val="Heading3"/>
      </w:pPr>
      <w:r>
        <w:t xml:space="preserve">5. Systemic Corruption</w:t>
      </w:r>
    </w:p>
    <w:p>
      <w:pPr>
        <w:pStyle w:val="FirstParagraph"/>
      </w:pPr>
      <w:r>
        <w:t xml:space="preserve">World Bank. (2018).</w:t>
      </w:r>
      <w:r>
        <w:t xml:space="preserve"> </w:t>
      </w:r>
      <w:r>
        <w:rPr>
          <w:iCs/>
          <w:i/>
        </w:rPr>
        <w:t xml:space="preserve">Iraq Economic Monitor: Building a Stronger Economy</w:t>
      </w:r>
      <w:r>
        <w:t xml:space="preserve">. World Bank Group.</w:t>
      </w:r>
    </w:p>
    <w:p>
      <w:pPr>
        <w:pStyle w:val="BodyText"/>
      </w:pPr>
      <w:r>
        <w:t xml:space="preserve">This economic report provides quantitative data on the challenges facing Iraqi governance, with a specific focus on Baghdad as the economic hub. It analyzes the impact of corruption on public service delivery, including electricity, water, and healthcare. The document is valuable for understanding the practical constraints on politicians in Iraq; it demonstrates how mismanagement of oil revenues undermines public trust. The report offers a factual basis for evaluating the performance of political leaders in Baghdad and highlights the urgent need for institutional reform to meet the demands of the capital's growing population.</w:t>
      </w:r>
    </w:p>
    <w:bookmarkEnd w:id="27"/>
    <w:bookmarkStart w:id="28" w:name="X4da9d0d87ee93f5f1285f459bdb7c1f14ebf804"/>
    <w:p>
      <w:pPr>
        <w:pStyle w:val="Heading3"/>
      </w:pPr>
      <w:r>
        <w:t xml:space="preserve">6. The Tishreen Protests and Political Response</w:t>
      </w:r>
    </w:p>
    <w:p>
      <w:pPr>
        <w:pStyle w:val="FirstParagraph"/>
      </w:pPr>
      <w:r>
        <w:t xml:space="preserve">Al-Rasheed, M. (2020).</w:t>
      </w:r>
      <w:r>
        <w:t xml:space="preserve"> </w:t>
      </w:r>
      <w:r>
        <w:rPr>
          <w:iCs/>
          <w:i/>
        </w:rPr>
        <w:t xml:space="preserve">The Tishreen Protests in Iraq: A New Wave of Political Awakening</w:t>
      </w:r>
      <w:r>
        <w:t xml:space="preserve">. Middle East Institute.</w:t>
      </w:r>
    </w:p>
    <w:p>
      <w:pPr>
        <w:pStyle w:val="BodyText"/>
      </w:pPr>
      <w:r>
        <w:t xml:space="preserve">Al-Rasheed’s work analyzes the 2019-2020 protests that originated in southern Iraq but profoundly impacted the political landscape of Baghdad. This source is crucial for understanding the changing expectations of Iraqi citizens toward their politicians. It documents the demands for an end to sectarianism, corruption, and foreign interference. The text evaluates how political elites in Baghdad responded to this pressure, including legislative attempts at reform and the subsequent resistance from entrenched interests. It provides insight into the vulnerability of the current political class and the potential for future political realignment in the capital.</w:t>
      </w:r>
    </w:p>
    <w:bookmarkEnd w:id="28"/>
    <w:bookmarkEnd w:id="29"/>
    <w:bookmarkStart w:id="32" w:name="foreign-relations-and-regional-influence"/>
    <w:p>
      <w:pPr>
        <w:pStyle w:val="Heading2"/>
      </w:pPr>
      <w:r>
        <w:t xml:space="preserve">Foreign Relations and Regional Influence</w:t>
      </w:r>
    </w:p>
    <w:bookmarkStart w:id="30" w:name="regional-geopolitics"/>
    <w:p>
      <w:pPr>
        <w:pStyle w:val="Heading3"/>
      </w:pPr>
      <w:r>
        <w:t xml:space="preserve">7. Regional Geopolitics</w:t>
      </w:r>
    </w:p>
    <w:p>
      <w:pPr>
        <w:pStyle w:val="FirstParagraph"/>
      </w:pPr>
      <w:r>
        <w:t xml:space="preserve">Hagopian, C. (2019).</w:t>
      </w:r>
      <w:r>
        <w:t xml:space="preserve"> </w:t>
      </w:r>
      <w:r>
        <w:rPr>
          <w:iCs/>
          <w:i/>
        </w:rPr>
        <w:t xml:space="preserve">Iraq’s Foreign Policy: Navigating Regional Rivalries</w:t>
      </w:r>
      <w:r>
        <w:t xml:space="preserve">. Brookings Institution.</w:t>
      </w:r>
    </w:p>
    <w:p>
      <w:pPr>
        <w:pStyle w:val="BodyText"/>
      </w:pPr>
      <w:r>
        <w:t xml:space="preserve">This article explores how regional powers influence the decision-making of politicians in Baghdad. It argues that Iraqi political leaders often balance competing interests from Iran, Saudi Arabia, Turkey, and the United States. For a comprehensive understanding of the Iraqi politician, this source is indispensable as it contextualizes domestic policies within the broader Middle Eastern geopolitical struggle. It explains how foreign aid, security cooperation, and trade agreements are leveraged by political factions in Baghdad to consolidate power, affecting the sovereignty and independence of the Iraqi state.</w:t>
      </w:r>
    </w:p>
    <w:bookmarkEnd w:id="30"/>
    <w:bookmarkStart w:id="31" w:name="security-and-counter-terrorism"/>
    <w:p>
      <w:pPr>
        <w:pStyle w:val="Heading3"/>
      </w:pPr>
      <w:r>
        <w:t xml:space="preserve">8. Security and Counter-Terrorism</w:t>
      </w:r>
    </w:p>
    <w:p>
      <w:pPr>
        <w:pStyle w:val="FirstParagraph"/>
      </w:pPr>
      <w:r>
        <w:t xml:space="preserve">International Institute for Strategic Studies (IISS). (2021).</w:t>
      </w:r>
      <w:r>
        <w:t xml:space="preserve"> </w:t>
      </w:r>
      <w:r>
        <w:rPr>
          <w:iCs/>
          <w:i/>
        </w:rPr>
        <w:t xml:space="preserve">The Military Balance 2021: Iraq Country Profile</w:t>
      </w:r>
      <w:r>
        <w:t xml:space="preserve">. Routledge.</w:t>
      </w:r>
    </w:p>
    <w:p>
      <w:pPr>
        <w:pStyle w:val="BodyText"/>
      </w:pPr>
      <w:r>
        <w:t xml:space="preserve">This annual publication provides a detailed overview of Iraq’s security apparatus and the political oversight of the military. It is relevant to the study of politicians in Baghdad because security policy remains a central pillar of governance. The profile outlines the structure of the Iraqi Armed Forces and the Popular Mobilization Forces (PMF), highlighting the political appointments that control these entities. It offers factual data on defense spending and security challenges, illustrating the immense responsibility and political capital associated with managing security in a post-conflict capital like Baghdad.</w:t>
      </w:r>
    </w:p>
    <w:p>
      <w:pPr>
        <w:pStyle w:val="BodyText"/>
      </w:pPr>
      <w:r>
        <w:t xml:space="preserve">Document generated for educational and research purposes regarding political science in Iraq.</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Baghdad, Iraq</dc:title>
  <dc:creator/>
  <dc:language>en</dc:language>
  <cp:keywords/>
  <dcterms:created xsi:type="dcterms:W3CDTF">2026-08-07T02:26:53Z</dcterms:created>
  <dcterms:modified xsi:type="dcterms:W3CDTF">2026-08-07T02:26:53Z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