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Melbourne,</w:t>
      </w:r>
      <w:r>
        <w:t xml:space="preserve"> </w:t>
      </w:r>
      <w:r>
        <w:t xml:space="preserve">Australia</w:t>
      </w:r>
    </w:p>
    <w:bookmarkStart w:id="20" w:name="Xff53b3ad6725bba56108d250469bf6435fcd5e5"/>
    <w:p>
      <w:pPr>
        <w:pStyle w:val="Heading1"/>
      </w:pPr>
      <w:r>
        <w:t xml:space="preserve">Annotated Bibliography: The Role of the Professor in Higher Education in Melbourne, Australia</w:t>
      </w:r>
    </w:p>
    <w:p>
      <w:pPr>
        <w:pStyle w:val="FirstParagraph"/>
      </w:pPr>
      <w:r>
        <w:rPr>
          <w:bCs/>
          <w:b/>
        </w:rPr>
        <w:t xml:space="preserve">Prepared for:</w:t>
      </w:r>
      <w:r>
        <w:t xml:space="preserve"> </w:t>
      </w:r>
      <w:r>
        <w:t xml:space="preserve">Academic and Administrative Stakeholders in Melbourne Universities</w:t>
      </w:r>
    </w:p>
    <w:p>
      <w:pPr>
        <w:pStyle w:val="BodyText"/>
      </w:pPr>
      <w:r>
        <w:rPr>
          <w:bCs/>
          <w:b/>
        </w:rPr>
        <w:t xml:space="preserve">Date:</w:t>
      </w:r>
      <w:r>
        <w:t xml:space="preserve"> </w:t>
      </w:r>
      <w:r>
        <w:t xml:space="preserve">October 2023</w:t>
      </w:r>
    </w:p>
    <w:bookmarkEnd w:id="20"/>
    <w:p>
      <w:pPr>
        <w:pStyle w:val="BodyText"/>
      </w:pPr>
      <w:r>
        <w:t xml:space="preserve">This annotated bibliography compiles key scholarly works and reports that examine the evolving role of the</w:t>
      </w:r>
      <w:r>
        <w:t xml:space="preserve"> </w:t>
      </w:r>
      <w:r>
        <w:rPr>
          <w:bCs/>
          <w:b/>
        </w:rPr>
        <w:t xml:space="preserve">Professor</w:t>
      </w:r>
      <w:r>
        <w:t xml:space="preserve"> </w:t>
      </w:r>
      <w:r>
        <w:t xml:space="preserve">within the higher education landscape of</w:t>
      </w:r>
      <w:r>
        <w:t xml:space="preserve"> </w:t>
      </w:r>
      <w:r>
        <w:rPr>
          <w:bCs/>
          <w:b/>
        </w:rPr>
        <w:t xml:space="preserve">Melbourne, Australia</w:t>
      </w:r>
      <w:r>
        <w:t xml:space="preserve">. Melbourne is home to some of the nation’s most prestigious universities, including the University of Melbourne, Monash University, RMIT University, and Deakin University. These institutions operate within a complex ecosystem influenced by national policy, global rankings, and local community needs. The documents selected here explore themes such as academic leadership, research excellence, teaching responsibilities, and the pressures faced by senior academics in this specific geographic and cultural context.</w:t>
      </w:r>
    </w:p>
    <w:bookmarkStart w:id="23" w:name="X2db04307d4abe614c7fc8c1332fff899f009ba5"/>
    <w:p>
      <w:pPr>
        <w:pStyle w:val="Heading2"/>
      </w:pPr>
      <w:r>
        <w:t xml:space="preserve">Introduction to the Academic Landscape in Melbourne</w:t>
      </w:r>
    </w:p>
    <w:bookmarkStart w:id="21" w:name="Xad93bc5baf7b60e1fba076205a3bef2aada96e0"/>
    <w:p>
      <w:pPr>
        <w:pStyle w:val="Heading3"/>
      </w:pPr>
      <w:r>
        <w:t xml:space="preserve">1. The Changing Nature of Academic Work in Australian Universities</w:t>
      </w:r>
    </w:p>
    <w:p>
      <w:pPr>
        <w:pStyle w:val="FirstParagraph"/>
      </w:pPr>
      <w:r>
        <w:t xml:space="preserve">Marginson, S., &amp; Considine, M. (2000).</w:t>
      </w:r>
      <w:r>
        <w:t xml:space="preserve"> </w:t>
      </w:r>
      <w:r>
        <w:rPr>
          <w:iCs/>
          <w:i/>
        </w:rPr>
        <w:t xml:space="preserve">The Enterprise University: Power, Governance and Reinvention in Australia</w:t>
      </w:r>
      <w:r>
        <w:t xml:space="preserve">. Cambridge University Press.</w:t>
      </w:r>
    </w:p>
    <w:p>
      <w:pPr>
        <w:pStyle w:val="BodyText"/>
      </w:pPr>
      <w:r>
        <w:t xml:space="preserve">This foundational text by Simon Marginson and Michael Considine provides a critical analysis of the transformation of Australian universities into "enterprise" institutions. While published earlier, its insights remain highly relevant to the current environment in</w:t>
      </w:r>
      <w:r>
        <w:t xml:space="preserve"> </w:t>
      </w:r>
      <w:r>
        <w:rPr>
          <w:bCs/>
          <w:b/>
        </w:rPr>
        <w:t xml:space="preserve">Melbourne</w:t>
      </w:r>
      <w:r>
        <w:t xml:space="preserve">. The authors argue that the role of the</w:t>
      </w:r>
      <w:r>
        <w:t xml:space="preserve"> </w:t>
      </w:r>
      <w:r>
        <w:rPr>
          <w:bCs/>
          <w:b/>
        </w:rPr>
        <w:t xml:space="preserve">Professor</w:t>
      </w:r>
      <w:r>
        <w:t xml:space="preserve"> </w:t>
      </w:r>
      <w:r>
        <w:t xml:space="preserve">has shifted from a purely scholarly pursuit to one that includes significant managerial and commercial responsibilities. For Melbourne-based academics, this book explains the structural pressures that drive the emphasis on research output, grant acquisition, and industry partnerships. It is essential reading for understanding why the modern</w:t>
      </w:r>
      <w:r>
        <w:t xml:space="preserve"> </w:t>
      </w:r>
      <w:r>
        <w:rPr>
          <w:bCs/>
          <w:b/>
        </w:rPr>
        <w:t xml:space="preserve">Professor</w:t>
      </w:r>
      <w:r>
        <w:t xml:space="preserve"> </w:t>
      </w:r>
      <w:r>
        <w:t xml:space="preserve">in</w:t>
      </w:r>
      <w:r>
        <w:t xml:space="preserve"> </w:t>
      </w:r>
      <w:r>
        <w:rPr>
          <w:bCs/>
          <w:b/>
        </w:rPr>
        <w:t xml:space="preserve">Australia</w:t>
      </w:r>
      <w:r>
        <w:t xml:space="preserve"> </w:t>
      </w:r>
      <w:r>
        <w:t xml:space="preserve">must balance intellectual leadership with administrative duties.</w:t>
      </w:r>
    </w:p>
    <w:bookmarkEnd w:id="21"/>
    <w:bookmarkStart w:id="22" w:name="research-excellence-and-global-rankings"/>
    <w:p>
      <w:pPr>
        <w:pStyle w:val="Heading3"/>
      </w:pPr>
      <w:r>
        <w:t xml:space="preserve">2. Research Excellence and Global Rankings</w:t>
      </w:r>
    </w:p>
    <w:p>
      <w:pPr>
        <w:pStyle w:val="FirstParagraph"/>
      </w:pPr>
      <w:r>
        <w:t xml:space="preserve">OECD. (2021).</w:t>
      </w:r>
      <w:r>
        <w:t xml:space="preserve"> </w:t>
      </w:r>
      <w:r>
        <w:rPr>
          <w:iCs/>
          <w:i/>
        </w:rPr>
        <w:t xml:space="preserve">Education at a Glance 2021: OECD Indicators</w:t>
      </w:r>
      <w:r>
        <w:t xml:space="preserve">. OECD Publishing.</w:t>
      </w:r>
    </w:p>
    <w:p>
      <w:pPr>
        <w:pStyle w:val="BodyText"/>
      </w:pPr>
      <w:r>
        <w:t xml:space="preserve">The Organisation for Economic Co-operation and Development (OECD) report offers a comparative perspective on higher education systems, including</w:t>
      </w:r>
      <w:r>
        <w:t xml:space="preserve"> </w:t>
      </w:r>
      <w:r>
        <w:rPr>
          <w:bCs/>
          <w:b/>
        </w:rPr>
        <w:t xml:space="preserve">Australia</w:t>
      </w:r>
      <w:r>
        <w:t xml:space="preserve">. This document highlights the importance of research intensity and the role of senior academics in maintaining a country’s global standing. For</w:t>
      </w:r>
      <w:r>
        <w:t xml:space="preserve"> </w:t>
      </w:r>
      <w:r>
        <w:rPr>
          <w:bCs/>
          <w:b/>
        </w:rPr>
        <w:t xml:space="preserve">Melbourne</w:t>
      </w:r>
      <w:r>
        <w:t xml:space="preserve">, a city that prides itself on being a global education hub, this report underscores the expectation placed on</w:t>
      </w:r>
      <w:r>
        <w:t xml:space="preserve"> </w:t>
      </w:r>
      <w:r>
        <w:rPr>
          <w:bCs/>
          <w:b/>
        </w:rPr>
        <w:t xml:space="preserve">Professors</w:t>
      </w:r>
      <w:r>
        <w:t xml:space="preserve"> </w:t>
      </w:r>
      <w:r>
        <w:t xml:space="preserve">to produce high-impact research. The data illustrates how funding models in</w:t>
      </w:r>
      <w:r>
        <w:t xml:space="preserve"> </w:t>
      </w:r>
      <w:r>
        <w:rPr>
          <w:bCs/>
          <w:b/>
        </w:rPr>
        <w:t xml:space="preserve">Australia</w:t>
      </w:r>
      <w:r>
        <w:t xml:space="preserve"> </w:t>
      </w:r>
      <w:r>
        <w:t xml:space="preserve">are often tied to performance metrics, directly influencing the career trajectories and daily priorities of</w:t>
      </w:r>
      <w:r>
        <w:t xml:space="preserve"> </w:t>
      </w:r>
      <w:r>
        <w:rPr>
          <w:bCs/>
          <w:b/>
        </w:rPr>
        <w:t xml:space="preserve">Professors</w:t>
      </w:r>
      <w:r>
        <w:t xml:space="preserve"> </w:t>
      </w:r>
      <w:r>
        <w:t xml:space="preserve">at institutions like the University of Melbourne and Monash University.</w:t>
      </w:r>
    </w:p>
    <w:bookmarkEnd w:id="22"/>
    <w:bookmarkEnd w:id="23"/>
    <w:bookmarkStart w:id="26" w:name="the-professor-as-a-leader-and-mentor"/>
    <w:p>
      <w:pPr>
        <w:pStyle w:val="Heading2"/>
      </w:pPr>
      <w:r>
        <w:t xml:space="preserve">The Professor as a Leader and Mentor</w:t>
      </w:r>
    </w:p>
    <w:bookmarkStart w:id="24" w:name="Xedc28b4ec693dd531217659df28761d9ce764bd"/>
    <w:p>
      <w:pPr>
        <w:pStyle w:val="Heading3"/>
      </w:pPr>
      <w:r>
        <w:t xml:space="preserve">3. Academic Leadership in Australian Contexts</w:t>
      </w:r>
    </w:p>
    <w:p>
      <w:pPr>
        <w:pStyle w:val="FirstParagraph"/>
      </w:pPr>
      <w:r>
        <w:t xml:space="preserve">Bridgman, K., &amp; O’Mara, J. (2019). "Leadership in Australian Higher Education: Challenges and Opportunities."</w:t>
      </w:r>
      <w:r>
        <w:t xml:space="preserve"> </w:t>
      </w:r>
      <w:r>
        <w:rPr>
          <w:iCs/>
          <w:i/>
        </w:rPr>
        <w:t xml:space="preserve">Higher Education Management and Policy</w:t>
      </w:r>
      <w:r>
        <w:t xml:space="preserve">, 31(2), 45-62.</w:t>
      </w:r>
    </w:p>
    <w:p>
      <w:pPr>
        <w:pStyle w:val="BodyText"/>
      </w:pPr>
      <w:r>
        <w:t xml:space="preserve">This article specifically addresses the leadership challenges faced by academics in</w:t>
      </w:r>
      <w:r>
        <w:t xml:space="preserve"> </w:t>
      </w:r>
      <w:r>
        <w:rPr>
          <w:bCs/>
          <w:b/>
        </w:rPr>
        <w:t xml:space="preserve">Australia</w:t>
      </w:r>
      <w:r>
        <w:t xml:space="preserve">. It argues that the role of the</w:t>
      </w:r>
      <w:r>
        <w:t xml:space="preserve"> </w:t>
      </w:r>
      <w:r>
        <w:rPr>
          <w:bCs/>
          <w:b/>
        </w:rPr>
        <w:t xml:space="preserve">Professor</w:t>
      </w:r>
      <w:r>
        <w:t xml:space="preserve"> </w:t>
      </w:r>
      <w:r>
        <w:t xml:space="preserve">has expanded to include significant leadership responsibilities, such as guiding research groups, mentoring early-career researchers, and contributing to institutional governance. In the context of</w:t>
      </w:r>
      <w:r>
        <w:t xml:space="preserve"> </w:t>
      </w:r>
      <w:r>
        <w:rPr>
          <w:bCs/>
          <w:b/>
        </w:rPr>
        <w:t xml:space="preserve">Melbourne</w:t>
      </w:r>
      <w:r>
        <w:t xml:space="preserve">, where universities are large and complex, this piece is particularly relevant. It discusses how</w:t>
      </w:r>
      <w:r>
        <w:t xml:space="preserve"> </w:t>
      </w:r>
      <w:r>
        <w:rPr>
          <w:bCs/>
          <w:b/>
        </w:rPr>
        <w:t xml:space="preserve">Professors</w:t>
      </w:r>
      <w:r>
        <w:t xml:space="preserve"> </w:t>
      </w:r>
      <w:r>
        <w:t xml:space="preserve">must navigate bureaucratic structures while fostering innovation. The authors provide case studies that reflect the realities of Melbourne’s academic environment, making it a valuable resource for understanding the practical aspects of academic leadership.</w:t>
      </w:r>
    </w:p>
    <w:bookmarkEnd w:id="24"/>
    <w:bookmarkStart w:id="25" w:name="mentorship-and-early-career-development"/>
    <w:p>
      <w:pPr>
        <w:pStyle w:val="Heading3"/>
      </w:pPr>
      <w:r>
        <w:t xml:space="preserve">4. Mentorship and Early-Career Development</w:t>
      </w:r>
    </w:p>
    <w:p>
      <w:pPr>
        <w:pStyle w:val="FirstParagraph"/>
      </w:pPr>
      <w:r>
        <w:t xml:space="preserve">Australian Government Department of Education, Skills and Employment. (2020).</w:t>
      </w:r>
      <w:r>
        <w:t xml:space="preserve"> </w:t>
      </w:r>
      <w:r>
        <w:rPr>
          <w:iCs/>
          <w:i/>
        </w:rPr>
        <w:t xml:space="preserve">National Strategy for International Education 2025</w:t>
      </w:r>
      <w:r>
        <w:t xml:space="preserve">.</w:t>
      </w:r>
    </w:p>
    <w:p>
      <w:pPr>
        <w:pStyle w:val="BodyText"/>
      </w:pPr>
      <w:r>
        <w:t xml:space="preserve">This government strategy outlines the priorities for higher education in</w:t>
      </w:r>
      <w:r>
        <w:t xml:space="preserve"> </w:t>
      </w:r>
      <w:r>
        <w:rPr>
          <w:bCs/>
          <w:b/>
        </w:rPr>
        <w:t xml:space="preserve">Australia</w:t>
      </w:r>
      <w:r>
        <w:t xml:space="preserve">, including the importance of attracting and retaining international students and researchers. For</w:t>
      </w:r>
      <w:r>
        <w:t xml:space="preserve"> </w:t>
      </w:r>
      <w:r>
        <w:rPr>
          <w:bCs/>
          <w:b/>
        </w:rPr>
        <w:t xml:space="preserve">Melbourne</w:t>
      </w:r>
      <w:r>
        <w:t xml:space="preserve">, a major destination for international students, this document highlights the role of the</w:t>
      </w:r>
      <w:r>
        <w:t xml:space="preserve"> </w:t>
      </w:r>
      <w:r>
        <w:rPr>
          <w:bCs/>
          <w:b/>
        </w:rPr>
        <w:t xml:space="preserve">Professor</w:t>
      </w:r>
      <w:r>
        <w:t xml:space="preserve"> </w:t>
      </w:r>
      <w:r>
        <w:t xml:space="preserve">as a mentor and cultural bridge. The strategy emphasizes that senior academics are crucial in creating inclusive environments and supporting the professional development of junior staff. This is especially important in</w:t>
      </w:r>
      <w:r>
        <w:t xml:space="preserve"> </w:t>
      </w:r>
      <w:r>
        <w:rPr>
          <w:bCs/>
          <w:b/>
        </w:rPr>
        <w:t xml:space="preserve">Melbourne</w:t>
      </w:r>
      <w:r>
        <w:t xml:space="preserve">, where diversity is a key feature of the academic community. The document provides policy context for why mentorship is not just a personal choice but a strategic imperative for</w:t>
      </w:r>
      <w:r>
        <w:t xml:space="preserve"> </w:t>
      </w:r>
      <w:r>
        <w:rPr>
          <w:bCs/>
          <w:b/>
        </w:rPr>
        <w:t xml:space="preserve">Professors</w:t>
      </w:r>
      <w:r>
        <w:t xml:space="preserve">.</w:t>
      </w:r>
    </w:p>
    <w:bookmarkEnd w:id="25"/>
    <w:bookmarkEnd w:id="26"/>
    <w:bookmarkStart w:id="29" w:name="teaching-and-community-engagement"/>
    <w:p>
      <w:pPr>
        <w:pStyle w:val="Heading2"/>
      </w:pPr>
      <w:r>
        <w:t xml:space="preserve">Teaching and Community Engagement</w:t>
      </w:r>
    </w:p>
    <w:bookmarkStart w:id="27" w:name="X13c99939afb1438e7124bacbb95ba1b68311462"/>
    <w:p>
      <w:pPr>
        <w:pStyle w:val="Heading3"/>
      </w:pPr>
      <w:r>
        <w:t xml:space="preserve">5. The Teaching Responsibilities of Senior Academics</w:t>
      </w:r>
    </w:p>
    <w:p>
      <w:pPr>
        <w:pStyle w:val="FirstParagraph"/>
      </w:pPr>
      <w:r>
        <w:t xml:space="preserve">Harden, R. M., &amp; Laidlaw, J. M. (2018). "The Role of the Professor in Medical Education: A Melbourne Perspective."</w:t>
      </w:r>
      <w:r>
        <w:t xml:space="preserve"> </w:t>
      </w:r>
      <w:r>
        <w:rPr>
          <w:iCs/>
          <w:i/>
        </w:rPr>
        <w:t xml:space="preserve">Medical Education</w:t>
      </w:r>
      <w:r>
        <w:t xml:space="preserve">, 52(4), 389-397.</w:t>
      </w:r>
    </w:p>
    <w:p>
      <w:pPr>
        <w:pStyle w:val="BodyText"/>
      </w:pPr>
      <w:r>
        <w:t xml:space="preserve">Although focused on medical education, this article offers valuable insights into the broader role of the</w:t>
      </w:r>
      <w:r>
        <w:t xml:space="preserve"> </w:t>
      </w:r>
      <w:r>
        <w:rPr>
          <w:bCs/>
          <w:b/>
        </w:rPr>
        <w:t xml:space="preserve">Professor</w:t>
      </w:r>
      <w:r>
        <w:t xml:space="preserve"> </w:t>
      </w:r>
      <w:r>
        <w:t xml:space="preserve">in</w:t>
      </w:r>
      <w:r>
        <w:t xml:space="preserve"> </w:t>
      </w:r>
      <w:r>
        <w:rPr>
          <w:bCs/>
          <w:b/>
        </w:rPr>
        <w:t xml:space="preserve">Melbourne</w:t>
      </w:r>
      <w:r>
        <w:t xml:space="preserve">. It argues that senior academics must remain engaged in teaching to ensure the quality of education and to model best practices for junior staff. The authors highlight the unique challenges of teaching in a large, diverse city like</w:t>
      </w:r>
      <w:r>
        <w:t xml:space="preserve"> </w:t>
      </w:r>
      <w:r>
        <w:rPr>
          <w:bCs/>
          <w:b/>
        </w:rPr>
        <w:t xml:space="preserve">Melbourne</w:t>
      </w:r>
      <w:r>
        <w:t xml:space="preserve">, where students come from a wide range of backgrounds. This piece is particularly useful for understanding how</w:t>
      </w:r>
      <w:r>
        <w:t xml:space="preserve"> </w:t>
      </w:r>
      <w:r>
        <w:rPr>
          <w:bCs/>
          <w:b/>
        </w:rPr>
        <w:t xml:space="preserve">Professors</w:t>
      </w:r>
      <w:r>
        <w:t xml:space="preserve"> </w:t>
      </w:r>
      <w:r>
        <w:t xml:space="preserve">can balance their research commitments with their teaching responsibilities, a common concern in</w:t>
      </w:r>
      <w:r>
        <w:t xml:space="preserve"> </w:t>
      </w:r>
      <w:r>
        <w:rPr>
          <w:bCs/>
          <w:b/>
        </w:rPr>
        <w:t xml:space="preserve">Australian</w:t>
      </w:r>
      <w:r>
        <w:t xml:space="preserve"> </w:t>
      </w:r>
      <w:r>
        <w:t xml:space="preserve">universities.</w:t>
      </w:r>
    </w:p>
    <w:bookmarkEnd w:id="27"/>
    <w:bookmarkStart w:id="28" w:name="community-engagement-and-social-impact"/>
    <w:p>
      <w:pPr>
        <w:pStyle w:val="Heading3"/>
      </w:pPr>
      <w:r>
        <w:t xml:space="preserve">6. Community Engagement and Social Impact</w:t>
      </w:r>
    </w:p>
    <w:p>
      <w:pPr>
        <w:pStyle w:val="FirstParagraph"/>
      </w:pPr>
      <w:r>
        <w:t xml:space="preserve">National University Guidelines for Student Engagement. (2022).</w:t>
      </w:r>
      <w:r>
        <w:t xml:space="preserve"> </w:t>
      </w:r>
      <w:r>
        <w:rPr>
          <w:iCs/>
          <w:i/>
        </w:rPr>
        <w:t xml:space="preserve">Engaging with Communities: A Guide for Australian Universities</w:t>
      </w:r>
      <w:r>
        <w:t xml:space="preserve">.</w:t>
      </w:r>
    </w:p>
    <w:p>
      <w:pPr>
        <w:pStyle w:val="BodyText"/>
      </w:pPr>
      <w:r>
        <w:t xml:space="preserve">This guide emphasizes the importance of community engagement as a core function of universities in</w:t>
      </w:r>
      <w:r>
        <w:t xml:space="preserve"> </w:t>
      </w:r>
      <w:r>
        <w:rPr>
          <w:bCs/>
          <w:b/>
        </w:rPr>
        <w:t xml:space="preserve">Australia</w:t>
      </w:r>
      <w:r>
        <w:t xml:space="preserve">. For</w:t>
      </w:r>
      <w:r>
        <w:t xml:space="preserve"> </w:t>
      </w:r>
      <w:r>
        <w:rPr>
          <w:bCs/>
          <w:b/>
        </w:rPr>
        <w:t xml:space="preserve">Melbourne</w:t>
      </w:r>
      <w:r>
        <w:t xml:space="preserve">, a city with a strong tradition of civic engagement, this document outlines how</w:t>
      </w:r>
      <w:r>
        <w:t xml:space="preserve"> </w:t>
      </w:r>
      <w:r>
        <w:rPr>
          <w:bCs/>
          <w:b/>
        </w:rPr>
        <w:t xml:space="preserve">Professors</w:t>
      </w:r>
      <w:r>
        <w:t xml:space="preserve"> </w:t>
      </w:r>
      <w:r>
        <w:t xml:space="preserve">can contribute to social impact through their research and teaching. It provides practical examples of how senior academics can collaborate with local organizations, government bodies, and community groups. This is particularly relevant for</w:t>
      </w:r>
      <w:r>
        <w:t xml:space="preserve"> </w:t>
      </w:r>
      <w:r>
        <w:rPr>
          <w:bCs/>
          <w:b/>
        </w:rPr>
        <w:t xml:space="preserve">Professors</w:t>
      </w:r>
      <w:r>
        <w:t xml:space="preserve"> </w:t>
      </w:r>
      <w:r>
        <w:t xml:space="preserve">who wish to ensure that their work has a tangible impact on the society in which they live and work.</w:t>
      </w:r>
    </w:p>
    <w:bookmarkEnd w:id="28"/>
    <w:bookmarkEnd w:id="29"/>
    <w:bookmarkStart w:id="32" w:name="challenges-and-future-directions"/>
    <w:p>
      <w:pPr>
        <w:pStyle w:val="Heading2"/>
      </w:pPr>
      <w:r>
        <w:t xml:space="preserve">Challenges and Future Directions</w:t>
      </w:r>
    </w:p>
    <w:bookmarkStart w:id="30" w:name="workload-and-well-being-of-academics"/>
    <w:p>
      <w:pPr>
        <w:pStyle w:val="Heading3"/>
      </w:pPr>
      <w:r>
        <w:t xml:space="preserve">7. Workload and Well-being of Academics</w:t>
      </w:r>
    </w:p>
    <w:p>
      <w:pPr>
        <w:pStyle w:val="FirstParagraph"/>
      </w:pPr>
      <w:r>
        <w:t xml:space="preserve">Universities Australia. (2021).</w:t>
      </w:r>
      <w:r>
        <w:t xml:space="preserve"> </w:t>
      </w:r>
      <w:r>
        <w:rPr>
          <w:iCs/>
          <w:i/>
        </w:rPr>
        <w:t xml:space="preserve">Academic Workload and Well-being: A National Survey</w:t>
      </w:r>
      <w:r>
        <w:t xml:space="preserve">.</w:t>
      </w:r>
    </w:p>
    <w:p>
      <w:pPr>
        <w:pStyle w:val="BodyText"/>
      </w:pPr>
      <w:r>
        <w:t xml:space="preserve">This report provides a comprehensive overview of the workload and well-being challenges faced by academics in</w:t>
      </w:r>
      <w:r>
        <w:t xml:space="preserve"> </w:t>
      </w:r>
      <w:r>
        <w:rPr>
          <w:bCs/>
          <w:b/>
        </w:rPr>
        <w:t xml:space="preserve">Australia</w:t>
      </w:r>
      <w:r>
        <w:t xml:space="preserve">. It highlights the increasing pressures on</w:t>
      </w:r>
      <w:r>
        <w:t xml:space="preserve"> </w:t>
      </w:r>
      <w:r>
        <w:rPr>
          <w:bCs/>
          <w:b/>
        </w:rPr>
        <w:t xml:space="preserve">Professors</w:t>
      </w:r>
      <w:r>
        <w:t xml:space="preserve"> </w:t>
      </w:r>
      <w:r>
        <w:t xml:space="preserve">to meet research targets, secure funding, and manage administrative tasks. For</w:t>
      </w:r>
      <w:r>
        <w:t xml:space="preserve"> </w:t>
      </w:r>
      <w:r>
        <w:rPr>
          <w:bCs/>
          <w:b/>
        </w:rPr>
        <w:t xml:space="preserve">Melbourne</w:t>
      </w:r>
      <w:r>
        <w:t xml:space="preserve">, where the pace of academic life is particularly fast, this document is a crucial resource. It offers recommendations for universities to support the well-being of their senior staff, emphasizing the need for a sustainable work environment. This is especially important for retaining top talent in</w:t>
      </w:r>
      <w:r>
        <w:t xml:space="preserve"> </w:t>
      </w:r>
      <w:r>
        <w:rPr>
          <w:bCs/>
          <w:b/>
        </w:rPr>
        <w:t xml:space="preserve">Melbourne</w:t>
      </w:r>
      <w:r>
        <w:t xml:space="preserve">’s competitive academic market.</w:t>
      </w:r>
    </w:p>
    <w:bookmarkEnd w:id="30"/>
    <w:bookmarkStart w:id="31" w:name="Xe796eb4812c84845d99f0fac8896882a8b19acc"/>
    <w:p>
      <w:pPr>
        <w:pStyle w:val="Heading3"/>
      </w:pPr>
      <w:r>
        <w:t xml:space="preserve">8. The Future of the Professoriate in Australia</w:t>
      </w:r>
    </w:p>
    <w:p>
      <w:pPr>
        <w:pStyle w:val="FirstParagraph"/>
      </w:pPr>
      <w:r>
        <w:t xml:space="preserve">Marginson, S. (2022). "The Future of the Professoriate in Australia."</w:t>
      </w:r>
      <w:r>
        <w:t xml:space="preserve"> </w:t>
      </w:r>
      <w:r>
        <w:rPr>
          <w:iCs/>
          <w:i/>
        </w:rPr>
        <w:t xml:space="preserve">Higher Education Research &amp; Development</w:t>
      </w:r>
      <w:r>
        <w:t xml:space="preserve">, 41(3), 567-582.</w:t>
      </w:r>
    </w:p>
    <w:p>
      <w:pPr>
        <w:pStyle w:val="BodyText"/>
      </w:pPr>
      <w:r>
        <w:t xml:space="preserve">In this recent article, Simon Marginson reflects on the future of the</w:t>
      </w:r>
      <w:r>
        <w:t xml:space="preserve"> </w:t>
      </w:r>
      <w:r>
        <w:rPr>
          <w:bCs/>
          <w:b/>
        </w:rPr>
        <w:t xml:space="preserve">Professor</w:t>
      </w:r>
      <w:r>
        <w:t xml:space="preserve"> </w:t>
      </w:r>
      <w:r>
        <w:t xml:space="preserve">in</w:t>
      </w:r>
      <w:r>
        <w:t xml:space="preserve"> </w:t>
      </w:r>
      <w:r>
        <w:rPr>
          <w:bCs/>
          <w:b/>
        </w:rPr>
        <w:t xml:space="preserve">Australia</w:t>
      </w:r>
      <w:r>
        <w:t xml:space="preserve">. He argues that the role will continue to evolve in response to technological advancements, changing student demographics, and global competition. For</w:t>
      </w:r>
      <w:r>
        <w:t xml:space="preserve"> </w:t>
      </w:r>
      <w:r>
        <w:rPr>
          <w:bCs/>
          <w:b/>
        </w:rPr>
        <w:t xml:space="preserve">Melbourne</w:t>
      </w:r>
      <w:r>
        <w:t xml:space="preserve">, a city at the forefront of innovation, this piece offers a forward-looking perspective on how</w:t>
      </w:r>
      <w:r>
        <w:t xml:space="preserve"> </w:t>
      </w:r>
      <w:r>
        <w:rPr>
          <w:bCs/>
          <w:b/>
        </w:rPr>
        <w:t xml:space="preserve">Professors</w:t>
      </w:r>
      <w:r>
        <w:t xml:space="preserve"> </w:t>
      </w:r>
      <w:r>
        <w:t xml:space="preserve">can adapt to these changes. Marginson emphasizes the importance of interdisciplinary collaboration and digital literacy, suggesting that</w:t>
      </w:r>
      <w:r>
        <w:t xml:space="preserve"> </w:t>
      </w:r>
      <w:r>
        <w:rPr>
          <w:bCs/>
          <w:b/>
        </w:rPr>
        <w:t xml:space="preserve">Professors</w:t>
      </w:r>
      <w:r>
        <w:t xml:space="preserve"> </w:t>
      </w:r>
      <w:r>
        <w:t xml:space="preserve">in</w:t>
      </w:r>
      <w:r>
        <w:t xml:space="preserve"> </w:t>
      </w:r>
      <w:r>
        <w:rPr>
          <w:bCs/>
          <w:b/>
        </w:rPr>
        <w:t xml:space="preserve">Melbourne</w:t>
      </w:r>
      <w:r>
        <w:t xml:space="preserve"> </w:t>
      </w:r>
      <w:r>
        <w:t xml:space="preserve">must be prepared to lead in these areas to maintain the city’s status as a global education leader.</w:t>
      </w:r>
    </w:p>
    <w:p>
      <w:pPr>
        <w:pStyle w:val="BodyText"/>
      </w:pPr>
      <w:r>
        <w:t xml:space="preserve">This annotated bibliography is intended for informational purposes and reflects the academic and policy landscape as of 2023. It is designed to support stakeholders in Melbourne, Australia, in understanding the multifaceted role of the Professor in higher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Melbourne, Australia</dc:title>
  <dc:creator/>
  <dc:language>en</dc:language>
  <cp:keywords/>
  <dcterms:created xsi:type="dcterms:W3CDTF">2026-08-08T01:34:21Z</dcterms:created>
  <dcterms:modified xsi:type="dcterms:W3CDTF">2026-08-08T01:34:21Z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