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Berlin</w:t>
      </w:r>
    </w:p>
    <w:bookmarkStart w:id="20" w:name="Xd28bc6373795a6ad7690d878ca5696e796f19d5"/>
    <w:p>
      <w:pPr>
        <w:pStyle w:val="Heading1"/>
      </w:pPr>
      <w:r>
        <w:t xml:space="preserve">Annotated Bibliography: The Academic Professor in Germany Berlin</w:t>
      </w:r>
    </w:p>
    <w:p>
      <w:pPr>
        <w:pStyle w:val="FirstParagraph"/>
      </w:pPr>
      <w:r>
        <w:t xml:space="preserve">This document serves as a comprehensive annotated bibliography exploring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Germany Berlin</w:t>
      </w:r>
      <w:r>
        <w:t xml:space="preserve">. It examines the historical evolution, legal frameworks, and contemporary challenges facing academic staff in the capital city, highlighting the unique intersection of tradition and modernity that defines the Berlin university system.</w:t>
      </w:r>
    </w:p>
    <w:bookmarkEnd w:id="20"/>
    <w:bookmarkStart w:id="21" w:name="introduction"/>
    <w:p>
      <w:pPr>
        <w:pStyle w:val="Heading2"/>
      </w:pPr>
      <w:r>
        <w:t xml:space="preserve">Introduction</w:t>
      </w:r>
    </w:p>
    <w:p>
      <w:pPr>
        <w:pStyle w:val="FirstParagraph"/>
      </w:pPr>
      <w:r>
        <w:t xml:space="preserve">The position of the</w:t>
      </w:r>
      <w:r>
        <w:t xml:space="preserve"> </w:t>
      </w:r>
      <w:r>
        <w:rPr>
          <w:bCs/>
          <w:b/>
        </w:rPr>
        <w:t xml:space="preserve">Professor</w:t>
      </w:r>
      <w:r>
        <w:t xml:space="preserve"> </w:t>
      </w:r>
      <w:r>
        <w:t xml:space="preserve">in</w:t>
      </w:r>
      <w:r>
        <w:t xml:space="preserve"> </w:t>
      </w:r>
      <w:r>
        <w:rPr>
          <w:bCs/>
          <w:b/>
        </w:rPr>
        <w:t xml:space="preserve">Germany Berlin</w:t>
      </w:r>
      <w:r>
        <w:t xml:space="preserve"> </w:t>
      </w:r>
      <w:r>
        <w:t xml:space="preserve">is distinct from many other global academic systems. Rooted in the Humboldtian ideal of the unity of teaching and research, the role carries significant prestige and autonomy. However, recent reforms, particularly the introduction of the "Juniorprofessor" track and the Bologna Process, have transformed the career trajectory of academics in the city. This bibliography curates essential texts that analyze these shifts, providing a critical overview for researchers, policymakers, and aspiring academics interested in the Berlin context.</w:t>
      </w:r>
    </w:p>
    <w:bookmarkEnd w:id="21"/>
    <w:bookmarkStart w:id="22" w:name="bibliographic-entries"/>
    <w:p>
      <w:pPr>
        <w:pStyle w:val="Heading2"/>
      </w:pPr>
      <w:r>
        <w:t xml:space="preserve">Bibliographic Entries</w:t>
      </w:r>
    </w:p>
    <w:p>
      <w:pPr>
        <w:pStyle w:val="FirstParagraph"/>
      </w:pPr>
      <w:r>
        <w:t xml:space="preserve"> </w:t>
      </w:r>
      <w:r>
        <w:t xml:space="preserve">Altbach, Philip G., and Linda M. Salmi.</w:t>
      </w:r>
      <w:r>
        <w:t xml:space="preserve"> </w:t>
      </w:r>
      <w:r>
        <w:rPr>
          <w:iCs/>
          <w:i/>
        </w:rPr>
        <w:t xml:space="preserve">Higher Education in a Globalizing World.</w:t>
      </w:r>
      <w:r>
        <w:t xml:space="preserve"> </w:t>
      </w:r>
      <w:r>
        <w:t xml:space="preserve">Johns Hopkins University Press, 2011.</w:t>
      </w:r>
      <w:r>
        <w:t xml:space="preserve"> </w:t>
      </w:r>
    </w:p>
    <w:p>
      <w:pPr>
        <w:pStyle w:val="BodyText"/>
      </w:pPr>
      <w:r>
        <w:t xml:space="preserve">This seminal work provides a macro-level view of higher education systems worldwide, with specific chapters dedicated to the German model. For the context of</w:t>
      </w:r>
      <w:r>
        <w:t xml:space="preserve"> </w:t>
      </w:r>
      <w:r>
        <w:rPr>
          <w:bCs/>
          <w:b/>
        </w:rPr>
        <w:t xml:space="preserve">Germany Berlin</w:t>
      </w:r>
      <w:r>
        <w:t xml:space="preserve">, this text is invaluable as it contrasts the traditional German</w:t>
      </w:r>
      <w:r>
        <w:t xml:space="preserve"> </w:t>
      </w:r>
      <w:r>
        <w:rPr>
          <w:bCs/>
          <w:b/>
        </w:rPr>
        <w:t xml:space="preserve">Professor</w:t>
      </w:r>
      <w:r>
        <w:t xml:space="preserve"> </w:t>
      </w:r>
      <w:r>
        <w:t xml:space="preserve">role—characterized by lifetime tenure and high autonomy—with the Anglo-American model of adjuncts and fixed-term contracts. The authors argue that while Berlin's universities are globally renowned, the rigid hierarchy of the professoriate has historically slowed administrative agility. This source is essential for understanding the external pressures that have forced Berlin's academic institutions to modernize their employment structures for professors.</w:t>
      </w:r>
    </w:p>
    <w:p>
      <w:pPr>
        <w:pStyle w:val="BodyText"/>
      </w:pPr>
      <w:r>
        <w:t xml:space="preserve"> </w:t>
      </w:r>
      <w:r>
        <w:t xml:space="preserve">Deutscher Hochschulverband (DHV).</w:t>
      </w:r>
      <w:r>
        <w:t xml:space="preserve"> </w:t>
      </w:r>
      <w:r>
        <w:rPr>
          <w:iCs/>
          <w:i/>
        </w:rPr>
        <w:t xml:space="preserve">Die Professoren in Deutschland: Berufsbild und Arbeitsbedingungen.</w:t>
      </w:r>
      <w:r>
        <w:t xml:space="preserve"> </w:t>
      </w:r>
      <w:r>
        <w:t xml:space="preserve">DHV, 2019.</w:t>
      </w:r>
      <w:r>
        <w:t xml:space="preserve"> </w:t>
      </w:r>
    </w:p>
    <w:p>
      <w:pPr>
        <w:pStyle w:val="BodyText"/>
      </w:pPr>
      <w:r>
        <w:t xml:space="preserve">Published by the German University Association, this report offers a data-driven analysis of the current state of the</w:t>
      </w:r>
      <w:r>
        <w:t xml:space="preserve"> </w:t>
      </w:r>
      <w:r>
        <w:rPr>
          <w:bCs/>
          <w:b/>
        </w:rPr>
        <w:t xml:space="preserve">Professor</w:t>
      </w:r>
      <w:r>
        <w:t xml:space="preserve"> </w:t>
      </w:r>
      <w:r>
        <w:t xml:space="preserve">in Germany. It includes specific statistics regarding the demographic shifts in Berlin's universities, such as Humboldt-Universität zu Berlin and Freie Universität Berlin. The document highlights the increasing gender gap in full professorships in Berlin compared to other German states and discusses the impact of the "Wissenschaftszeitvertragsgesetz" (Science Fixed-Term Employment Act). This is a primary source for anyone seeking factual data on the working conditions, salary scales, and job security of professors in the German capital.</w:t>
      </w:r>
    </w:p>
    <w:p>
      <w:pPr>
        <w:pStyle w:val="BodyText"/>
      </w:pPr>
      <w:r>
        <w:t xml:space="preserve"> </w:t>
      </w:r>
      <w:r>
        <w:t xml:space="preserve">Enders, Jürgen.</w:t>
      </w:r>
      <w:r>
        <w:t xml:space="preserve"> </w:t>
      </w:r>
      <w:r>
        <w:rPr>
          <w:iCs/>
          <w:i/>
        </w:rPr>
        <w:t xml:space="preserve">Higher Education and the State in Modern Germany.</w:t>
      </w:r>
      <w:r>
        <w:t xml:space="preserve"> </w:t>
      </w:r>
      <w:r>
        <w:t xml:space="preserve">Cambridge University Press, 2013.</w:t>
      </w:r>
      <w:r>
        <w:t xml:space="preserve"> </w:t>
      </w:r>
    </w:p>
    <w:p>
      <w:pPr>
        <w:pStyle w:val="BodyText"/>
      </w:pPr>
      <w:r>
        <w:t xml:space="preserve">Enders provides a critical historical perspective on the relationship between the state and the academic elite. In the context of</w:t>
      </w:r>
      <w:r>
        <w:t xml:space="preserve"> </w:t>
      </w:r>
      <w:r>
        <w:rPr>
          <w:bCs/>
          <w:b/>
        </w:rPr>
        <w:t xml:space="preserve">Germany Berlin</w:t>
      </w:r>
      <w:r>
        <w:t xml:space="preserve">, this book is crucial for understanding the post-reunification integration of East German academic structures into the broader German system. It details how the role of the</w:t>
      </w:r>
      <w:r>
        <w:t xml:space="preserve"> </w:t>
      </w:r>
      <w:r>
        <w:rPr>
          <w:bCs/>
          <w:b/>
        </w:rPr>
        <w:t xml:space="preserve">Professor</w:t>
      </w:r>
      <w:r>
        <w:t xml:space="preserve"> </w:t>
      </w:r>
      <w:r>
        <w:t xml:space="preserve">was redefined in Berlin after 1990, moving away from the politically influenced appointments of the GDR era toward a more meritocratic, yet still state-regulated, system. The text elucidates the tension between academic freedom and state funding, a central theme for professors operating in Berlin's politically charged environment.</w:t>
      </w:r>
    </w:p>
    <w:p>
      <w:pPr>
        <w:pStyle w:val="BodyText"/>
      </w:pPr>
      <w:r>
        <w:t xml:space="preserve"> </w:t>
      </w:r>
      <w:r>
        <w:t xml:space="preserve">Kehm, Barbara. "The Bologna Process and the German Higher Education System."</w:t>
      </w:r>
      <w:r>
        <w:t xml:space="preserve"> </w:t>
      </w:r>
      <w:r>
        <w:rPr>
          <w:iCs/>
          <w:i/>
        </w:rPr>
        <w:t xml:space="preserve">Higher Education Policy</w:t>
      </w:r>
      <w:r>
        <w:t xml:space="preserve">, vol. 20, no. 3, 2007, pp. 285-302.</w:t>
      </w:r>
      <w:r>
        <w:t xml:space="preserve"> </w:t>
      </w:r>
    </w:p>
    <w:p>
      <w:pPr>
        <w:pStyle w:val="BodyText"/>
      </w:pPr>
      <w:r>
        <w:t xml:space="preserve">This article analyzes the impact of the Bologna Process on German academia, with a focus on how it altered the career path to becoming a</w:t>
      </w:r>
      <w:r>
        <w:t xml:space="preserve"> </w:t>
      </w:r>
      <w:r>
        <w:rPr>
          <w:bCs/>
          <w:b/>
        </w:rPr>
        <w:t xml:space="preserve">Professor</w:t>
      </w:r>
      <w:r>
        <w:t xml:space="preserve">. In</w:t>
      </w:r>
      <w:r>
        <w:t xml:space="preserve"> </w:t>
      </w:r>
      <w:r>
        <w:rPr>
          <w:bCs/>
          <w:b/>
        </w:rPr>
        <w:t xml:space="preserve">Germany Berlin</w:t>
      </w:r>
      <w:r>
        <w:t xml:space="preserve">, where internationalization is a key strategic goal for universities, this text explains the shift from the traditional "Habilitation" requirement to the newer "Tenure Track" systems. Kehm argues that these changes were designed to make Berlin more attractive to international scholars. The annotation highlights the practical implications for young academics in Berlin who must now navigate a hybrid system of traditional German expectations and modern international standards.</w:t>
      </w:r>
    </w:p>
    <w:p>
      <w:pPr>
        <w:pStyle w:val="BodyText"/>
      </w:pPr>
      <w:r>
        <w:t xml:space="preserve"> </w:t>
      </w:r>
      <w:r>
        <w:t xml:space="preserve">Landau, Nora.</w:t>
      </w:r>
      <w:r>
        <w:t xml:space="preserve"> </w:t>
      </w:r>
      <w:r>
        <w:rPr>
          <w:iCs/>
          <w:i/>
        </w:rPr>
        <w:t xml:space="preserve">Academic Careers in Germany: A Guide for International Scholars.</w:t>
      </w:r>
      <w:r>
        <w:t xml:space="preserve"> </w:t>
      </w:r>
      <w:r>
        <w:t xml:space="preserve">Springer, 2020.</w:t>
      </w:r>
      <w:r>
        <w:t xml:space="preserve"> </w:t>
      </w:r>
    </w:p>
    <w:p>
      <w:pPr>
        <w:pStyle w:val="BodyText"/>
      </w:pPr>
      <w:r>
        <w:t xml:space="preserve">This practical guide is specifically tailored for international researchers aiming to secure a position as a</w:t>
      </w:r>
      <w:r>
        <w:t xml:space="preserve"> </w:t>
      </w:r>
      <w:r>
        <w:rPr>
          <w:bCs/>
          <w:b/>
        </w:rPr>
        <w:t xml:space="preserve">Professor</w:t>
      </w:r>
      <w:r>
        <w:t xml:space="preserve"> </w:t>
      </w:r>
      <w:r>
        <w:t xml:space="preserve">in Germany. It contains detailed sections on the Berlin job market, including the specific requirements of Berlin's major research institutions like the Max Planck Institutes and Charité. The book demystifies the German academic hierarchy, explaining the differences between "W3" and "W2" professorships, which are common classifications in Berlin. It is an indispensable resource for understanding the bureaucratic and cultural nuances of academic employment in the German capital.</w:t>
      </w:r>
    </w:p>
    <w:p>
      <w:pPr>
        <w:pStyle w:val="BodyText"/>
      </w:pPr>
      <w:r>
        <w:t xml:space="preserve"> </w:t>
      </w:r>
      <w:r>
        <w:t xml:space="preserve">Marginson, Simon.</w:t>
      </w:r>
      <w:r>
        <w:t xml:space="preserve"> </w:t>
      </w:r>
      <w:r>
        <w:rPr>
          <w:iCs/>
          <w:i/>
        </w:rPr>
        <w:t xml:space="preserve">Global Higher Education: New Dynamics of Education and Knowledge Capitalism in the 21st Century.</w:t>
      </w:r>
      <w:r>
        <w:t xml:space="preserve"> </w:t>
      </w:r>
      <w:r>
        <w:t xml:space="preserve">Bloomsbury Academic, 2016.</w:t>
      </w:r>
      <w:r>
        <w:t xml:space="preserve"> </w:t>
      </w:r>
    </w:p>
    <w:p>
      <w:pPr>
        <w:pStyle w:val="BodyText"/>
      </w:pPr>
      <w:r>
        <w:t xml:space="preserve">Marginson explores the commodification of knowledge and its effect on the professoriate. In the context of</w:t>
      </w:r>
      <w:r>
        <w:t xml:space="preserve"> </w:t>
      </w:r>
      <w:r>
        <w:rPr>
          <w:bCs/>
          <w:b/>
        </w:rPr>
        <w:t xml:space="preserve">Germany Berlin</w:t>
      </w:r>
      <w:r>
        <w:t xml:space="preserve">, this text is relevant for discussing the rise of "Excellence Initiatives" (Exzellenzstrategie). These initiatives have intensified competition among Berlin's universities, placing immense pressure on</w:t>
      </w:r>
      <w:r>
        <w:t xml:space="preserve"> </w:t>
      </w:r>
      <w:r>
        <w:rPr>
          <w:bCs/>
          <w:b/>
        </w:rPr>
        <w:t xml:space="preserve">Professors</w:t>
      </w:r>
      <w:r>
        <w:t xml:space="preserve"> </w:t>
      </w:r>
      <w:r>
        <w:t xml:space="preserve">to secure external funding and publish in high-impact journals. The book provides a critical lens through which to view the changing identity of the Berlin professor, who is increasingly expected to act as an entrepreneur of knowledge rather than solely a scholar and teacher.</w:t>
      </w:r>
    </w:p>
    <w:p>
      <w:pPr>
        <w:pStyle w:val="BodyText"/>
      </w:pPr>
      <w:r>
        <w:t xml:space="preserve"> </w:t>
      </w:r>
      <w:r>
        <w:t xml:space="preserve">Salmi, Jukka.</w:t>
      </w:r>
      <w:r>
        <w:t xml:space="preserve"> </w:t>
      </w:r>
      <w:r>
        <w:rPr>
          <w:iCs/>
          <w:i/>
        </w:rPr>
        <w:t xml:space="preserve">The Challenge of Establishing World-Class Universities.</w:t>
      </w:r>
      <w:r>
        <w:t xml:space="preserve"> </w:t>
      </w:r>
      <w:r>
        <w:t xml:space="preserve">World Bank Publications, 2009.</w:t>
      </w:r>
      <w:r>
        <w:t xml:space="preserve"> </w:t>
      </w:r>
    </w:p>
    <w:p>
      <w:pPr>
        <w:pStyle w:val="BodyText"/>
      </w:pPr>
      <w:r>
        <w:t xml:space="preserve">While a global study, this work frequently cites Berlin's Humboldt University as a case study for the "world-class" university model. It examines how the autonomy of the</w:t>
      </w:r>
      <w:r>
        <w:t xml:space="preserve"> </w:t>
      </w:r>
      <w:r>
        <w:rPr>
          <w:bCs/>
          <w:b/>
        </w:rPr>
        <w:t xml:space="preserve">Professor</w:t>
      </w:r>
      <w:r>
        <w:t xml:space="preserve"> </w:t>
      </w:r>
      <w:r>
        <w:t xml:space="preserve">contributes to institutional excellence. For</w:t>
      </w:r>
      <w:r>
        <w:t xml:space="preserve"> </w:t>
      </w:r>
      <w:r>
        <w:rPr>
          <w:bCs/>
          <w:b/>
        </w:rPr>
        <w:t xml:space="preserve">Germany Berlin</w:t>
      </w:r>
      <w:r>
        <w:t xml:space="preserve">, this text underscores the importance of maintaining academic freedom while adapting to global rankings. It provides insight into how Berlin's universities balance the traditional German respect for the professor's individual authority with the need for collaborative, interdisciplinary research clusters that define modern academic success.</w:t>
      </w:r>
    </w:p>
    <w:p>
      <w:pPr>
        <w:pStyle w:val="BodyText"/>
      </w:pPr>
      <w:r>
        <w:t xml:space="preserve"> </w:t>
      </w:r>
      <w:r>
        <w:t xml:space="preserve">Wissenschaftsrat.</w:t>
      </w:r>
      <w:r>
        <w:t xml:space="preserve"> </w:t>
      </w:r>
      <w:r>
        <w:rPr>
          <w:iCs/>
          <w:i/>
        </w:rPr>
        <w:t xml:space="preserve">Empfehlungen zur Zukunft der Wissenschaftszeitverträge.</w:t>
      </w:r>
      <w:r>
        <w:t xml:space="preserve"> </w:t>
      </w:r>
      <w:r>
        <w:t xml:space="preserve">Wissenschaftsrat, 2021.</w:t>
      </w:r>
      <w:r>
        <w:t xml:space="preserve"> </w:t>
      </w:r>
    </w:p>
    <w:p>
      <w:pPr>
        <w:pStyle w:val="BodyText"/>
      </w:pPr>
      <w:r>
        <w:t xml:space="preserve">The German Science Council (Wissenschaftsrat) is the central advisory body for higher education. This report addresses the precarious nature of academic employment prior to becoming a full</w:t>
      </w:r>
      <w:r>
        <w:t xml:space="preserve"> </w:t>
      </w:r>
      <w:r>
        <w:rPr>
          <w:bCs/>
          <w:b/>
        </w:rPr>
        <w:t xml:space="preserve">Professor</w:t>
      </w:r>
      <w:r>
        <w:t xml:space="preserve">. In</w:t>
      </w:r>
      <w:r>
        <w:t xml:space="preserve"> </w:t>
      </w:r>
      <w:r>
        <w:rPr>
          <w:bCs/>
          <w:b/>
        </w:rPr>
        <w:t xml:space="preserve">Germany Berlin</w:t>
      </w:r>
      <w:r>
        <w:t xml:space="preserve">, where the cost of living is high, this document is critical for understanding the economic realities facing early-career researchers. It proposes reforms to stabilize academic careers, directly impacting the pipeline of future professors in Berlin. The text is essential for policy analysis regarding the sustainability of the academic workforce in the German capital.</w:t>
      </w:r>
    </w:p>
    <w:bookmarkEnd w:id="22"/>
    <w:p>
      <w:pPr>
        <w:pStyle w:val="BodyText"/>
      </w:pPr>
      <w:r>
        <w:t xml:space="preserve">Document generated for academic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Germany Berlin</dc:title>
  <dc:creator/>
  <dc:language>en</dc:language>
  <cp:keywords/>
  <dcterms:created xsi:type="dcterms:W3CDTF">2026-08-07T18:51:43Z</dcterms:created>
  <dcterms:modified xsi:type="dcterms:W3CDTF">2026-08-07T18:51:43Z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