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Robotics Engineering in the Context of Moscow, Russia</w:t>
      </w:r>
    </w:p>
    <w:bookmarkEnd w:id="20"/>
    <w:bookmarkStart w:id="21" w:name="introduction"/>
    <w:p>
      <w:pPr>
        <w:pStyle w:val="Heading2"/>
      </w:pPr>
      <w:r>
        <w:t xml:space="preserve">Introduction</w:t>
      </w:r>
    </w:p>
    <w:p>
      <w:pPr>
        <w:pStyle w:val="FirstParagraph"/>
      </w:pPr>
      <w:r>
        <w:t xml:space="preserve">The field of Robotics Engineering is experiencing a significant transformation within the Russian Federation, with Moscow serving as the primary epicenter of technological innovation. This annotated bibliography compiles essential resources regarding the development, implementation, and regulation of robotics in Moscow. The selected texts cover a range of topics, including industrial automation in the Moscow region, the role of state-funded research institutes, educational frameworks for robotics engineers, and the integration of artificial intelligence into robotic systems. These sources provide a comprehensive overview for professionals, researchers, and students interested in the specific challenges and opportunities of robotics engineering in this geopolitical and economic context.</w:t>
      </w:r>
    </w:p>
    <w:bookmarkEnd w:id="21"/>
    <w:p>
      <w:pPr>
        <w:pStyle w:val="BodyText"/>
      </w:pPr>
      <w:r>
        <w:t xml:space="preserve">Ivanov, A., &amp; Petrova, E. (2023).</w:t>
      </w:r>
      <w:r>
        <w:t xml:space="preserve"> </w:t>
      </w:r>
      <w:r>
        <w:rPr>
          <w:iCs/>
          <w:i/>
        </w:rPr>
        <w:t xml:space="preserve">Industrial Automation and Robotics in the Moscow Region: Trends and Challenges</w:t>
      </w:r>
      <w:r>
        <w:t xml:space="preserve">. Moscow: Publishing House of the Russian Academy of Sciences.</w:t>
      </w:r>
    </w:p>
    <w:p>
      <w:pPr>
        <w:pStyle w:val="BodyText"/>
      </w:pPr>
      <w:r>
        <w:t xml:space="preserve">This comprehensive report analyzes the current state of industrial robotics in the Moscow Oblast. The authors provide a detailed examination of how major manufacturing plants in the region are adopting collaborative robots (cobots) to enhance productivity. The text is particularly valuable for robotics engineers as it discusses the specific technical standards required for integration into existing Soviet-era infrastructure, a common challenge in Moscow's industrial sector. It also highlights the impact of recent import substitution policies on the availability of robotic components.</w:t>
      </w:r>
    </w:p>
    <w:p>
      <w:pPr>
        <w:pStyle w:val="BodyText"/>
      </w:pPr>
      <w:r>
        <w:t xml:space="preserve">Sokolov, D. (2022).</w:t>
      </w:r>
      <w:r>
        <w:t xml:space="preserve"> </w:t>
      </w:r>
      <w:r>
        <w:rPr>
          <w:iCs/>
          <w:i/>
        </w:rPr>
        <w:t xml:space="preserve">Artificial Intelligence and Robotics: The Role of Skolkovo Innovation Center</w:t>
      </w:r>
      <w:r>
        <w:t xml:space="preserve">. Journal of Russian Technological Development, 15(3), 45-62.</w:t>
      </w:r>
    </w:p>
    <w:p>
      <w:pPr>
        <w:pStyle w:val="BodyText"/>
      </w:pPr>
      <w:r>
        <w:t xml:space="preserve">Sokolov explores the symbiotic relationship between AI research and robotics engineering within the Skolkovo Innovation Center, located in Moscow. The article details several case studies where startups have successfully developed autonomous navigation systems for urban environments. For a robotics engineer, this source offers insights into the local ecosystem of venture capital and government grants available for prototyping advanced robotic systems. It emphasizes the shift towards software-defined robotics in the Russian capital.</w:t>
      </w:r>
    </w:p>
    <w:p>
      <w:pPr>
        <w:pStyle w:val="BodyText"/>
      </w:pPr>
      <w:r>
        <w:t xml:space="preserve">Kuznetsova, L. (2021).</w:t>
      </w:r>
      <w:r>
        <w:t xml:space="preserve"> </w:t>
      </w:r>
      <w:r>
        <w:rPr>
          <w:iCs/>
          <w:i/>
        </w:rPr>
        <w:t xml:space="preserve">Educational Frameworks for Robotics Engineers in Russian Universities</w:t>
      </w:r>
      <w:r>
        <w:t xml:space="preserve">. Moscow State University Press.</w:t>
      </w:r>
    </w:p>
    <w:p>
      <w:pPr>
        <w:pStyle w:val="BodyText"/>
      </w:pPr>
      <w:r>
        <w:t xml:space="preserve">This book provides a critical analysis of the curriculum used to train robotics engineers in Moscow's leading institutions, such as Bauman Moscow State Technical University and MIPT. Kuznetsova argues that while theoretical foundations in mechanics and control theory are strong, there is a growing need for more practical experience with modern programming frameworks like ROS (Robot Operating System). The text is essential for understanding the skill set of the local workforce and the academic resources available for professional development in Moscow.</w:t>
      </w:r>
    </w:p>
    <w:p>
      <w:pPr>
        <w:pStyle w:val="BodyText"/>
      </w:pPr>
      <w:r>
        <w:t xml:space="preserve">Federal Service for Intellectual Property (Rospatent). (2023).</w:t>
      </w:r>
      <w:r>
        <w:t xml:space="preserve"> </w:t>
      </w:r>
      <w:r>
        <w:rPr>
          <w:iCs/>
          <w:i/>
        </w:rPr>
        <w:t xml:space="preserve">Regulatory Guidelines for the Deployment of Autonomous Robotic Systems in Urban Areas</w:t>
      </w:r>
      <w:r>
        <w:t xml:space="preserve">. Moscow: Government of the Russian Federation.</w:t>
      </w:r>
    </w:p>
    <w:p>
      <w:pPr>
        <w:pStyle w:val="BodyText"/>
      </w:pPr>
      <w:r>
        <w:t xml:space="preserve">This official government document outlines the legal and safety requirements for deploying autonomous robots in public spaces within Moscow. It covers liability issues, data privacy concerns, and technical safety standards. For robotics engineers working on service robots or autonomous vehicles in Moscow, this document is a mandatory reference to ensure compliance with national regulations. It reflects the government's cautious but supportive approach to integrating robotics into the urban fabric.</w:t>
      </w:r>
    </w:p>
    <w:p>
      <w:pPr>
        <w:pStyle w:val="BodyText"/>
      </w:pPr>
      <w:r>
        <w:t xml:space="preserve">Volkov, M., &amp; Smirnov, A. (2022).</w:t>
      </w:r>
      <w:r>
        <w:t xml:space="preserve"> </w:t>
      </w:r>
      <w:r>
        <w:rPr>
          <w:iCs/>
          <w:i/>
        </w:rPr>
        <w:t xml:space="preserve">Medical Robotics in Russia: Innovations from Moscow Hospitals</w:t>
      </w:r>
      <w:r>
        <w:t xml:space="preserve">. Russian Medical Engineering Journal, 8(2), 112-125.</w:t>
      </w:r>
    </w:p>
    <w:p>
      <w:pPr>
        <w:pStyle w:val="BodyText"/>
      </w:pPr>
      <w:r>
        <w:t xml:space="preserve">This journal article focuses on the application of robotics in the healthcare sector, specifically highlighting projects in Moscow's major medical centers. The authors discuss the development of surgical assistance robots and rehabilitation exoskeletons. The text provides technical details on the engineering challenges related to precision and sterility in a medical context. It is a valuable resource for engineers specializing in biomedical robotics and interested in the Russian healthcare market.</w:t>
      </w:r>
    </w:p>
    <w:p>
      <w:pPr>
        <w:pStyle w:val="BodyText"/>
      </w:pPr>
      <w:r>
        <w:t xml:space="preserve">Orlov, P. (2023).</w:t>
      </w:r>
      <w:r>
        <w:t xml:space="preserve"> </w:t>
      </w:r>
      <w:r>
        <w:rPr>
          <w:iCs/>
          <w:i/>
        </w:rPr>
        <w:t xml:space="preserve">Supply Chain Resilience for Robotics Manufacturing in Russia</w:t>
      </w:r>
      <w:r>
        <w:t xml:space="preserve">. Moscow: Institute of World Economy and International Relations.</w:t>
      </w:r>
    </w:p>
    <w:p>
      <w:pPr>
        <w:pStyle w:val="BodyText"/>
      </w:pPr>
      <w:r>
        <w:t xml:space="preserve">Orlov examines the impact of global geopolitical tensions on the supply chains of robotics components in Russia. The report details how Moscow-based engineering firms are adapting to sanctions by developing domestic alternatives for sensors, actuators, and microcontrollers. This source is crucial for understanding the economic realities of robotics engineering in Russia today. It offers practical advice on sourcing materials and designing systems that are resilient to external supply shocks.</w:t>
      </w:r>
    </w:p>
    <w:p>
      <w:pPr>
        <w:pStyle w:val="BodyText"/>
      </w:pPr>
      <w:r>
        <w:t xml:space="preserve">Zhukova, N. (2021).</w:t>
      </w:r>
      <w:r>
        <w:t xml:space="preserve"> </w:t>
      </w:r>
      <w:r>
        <w:rPr>
          <w:iCs/>
          <w:i/>
        </w:rPr>
        <w:t xml:space="preserve">Human-Robot Interaction in Russian Cultural Context</w:t>
      </w:r>
      <w:r>
        <w:t xml:space="preserve">. Journal of Cognitive Systems, 12(4), 78-90.</w:t>
      </w:r>
    </w:p>
    <w:p>
      <w:pPr>
        <w:pStyle w:val="BodyText"/>
      </w:pPr>
      <w:r>
        <w:t xml:space="preserve">This article explores the sociological aspects of robotics engineering, focusing on how cultural factors in Russia influence the design and acceptance of social robots. Zhukova presents findings from user studies conducted in Moscow, suggesting that robots designed for service roles must account for specific communication styles and expectations. For engineers designing user interfaces for robots, this text provides important insights into creating systems that are culturally appropriate and effective in the Russian market.</w:t>
      </w:r>
    </w:p>
    <w:p>
      <w:pPr>
        <w:pStyle w:val="BodyText"/>
      </w:pPr>
      <w:r>
        <w:t xml:space="preserve">Russian Academy of Sciences. (2022).</w:t>
      </w:r>
      <w:r>
        <w:t xml:space="preserve"> </w:t>
      </w:r>
      <w:r>
        <w:rPr>
          <w:iCs/>
          <w:i/>
        </w:rPr>
        <w:t xml:space="preserve">Strategic Roadmap for Robotics and Mechatronics 2030</w:t>
      </w:r>
      <w:r>
        <w:t xml:space="preserve">. Moscow: RAS Publishing.</w:t>
      </w:r>
    </w:p>
    <w:p>
      <w:pPr>
        <w:pStyle w:val="BodyText"/>
      </w:pPr>
      <w:r>
        <w:t xml:space="preserve">This strategic document outlines the long-term goals for the development of robotics and mechatronics in Russia. It identifies key areas of focus, including space robotics, agricultural automation, and defense applications. The roadmap provides a high-level view of where government funding and research efforts are likely to be directed in the coming decade. It is an essential reference for robotics engineers planning their career paths or research projects in alignment with national priorities in Moscow.</w:t>
      </w:r>
    </w:p>
    <w:p>
      <w:pPr>
        <w:pStyle w:val="BodyText"/>
      </w:pPr>
      <w:r>
        <w:t xml:space="preserve">Document generated for educational and informational purposes regarding Robotics Engineering in Moscow,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Moscow, Russia</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