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Osaka,</w:t>
      </w:r>
      <w:r>
        <w:t xml:space="preserve"> </w:t>
      </w:r>
      <w:r>
        <w:t xml:space="preserve">Japan</w:t>
      </w:r>
    </w:p>
    <w:bookmarkStart w:id="21" w:name="X3509f03b07de8414f0d6591fdaae0ae08354dd9"/>
    <w:p>
      <w:pPr>
        <w:pStyle w:val="Heading1"/>
      </w:pPr>
      <w:r>
        <w:t xml:space="preserve">Annotated Bibliography: The Role of the Social Worker in Contemporary Osaka, Japan</w:t>
      </w:r>
    </w:p>
    <w:p>
      <w:pPr>
        <w:pStyle w:val="FirstParagraph"/>
      </w:pPr>
      <w:r>
        <w:t xml:space="preserve">This annotated bibliography compiles essential literature regarding the profession of the</w:t>
      </w:r>
      <w:r>
        <w:t xml:space="preserve"> </w:t>
      </w:r>
      <w:r>
        <w:rPr>
          <w:bCs/>
          <w:b/>
        </w:rPr>
        <w:t xml:space="preserve">Social Worker</w:t>
      </w:r>
      <w:r>
        <w:t xml:space="preserve"> </w:t>
      </w:r>
      <w:r>
        <w:t xml:space="preserve">within the specific cultural and administrative context of</w:t>
      </w:r>
      <w:r>
        <w:t xml:space="preserve"> </w:t>
      </w:r>
      <w:r>
        <w:rPr>
          <w:bCs/>
          <w:b/>
        </w:rPr>
        <w:t xml:space="preserve">Japan</w:t>
      </w:r>
      <w:r>
        <w:t xml:space="preserve">, with a focused emphasis on the urban dynamics of</w:t>
      </w:r>
      <w:r>
        <w:t xml:space="preserve"> </w:t>
      </w:r>
      <w:r>
        <w:rPr>
          <w:bCs/>
          <w:b/>
        </w:rPr>
        <w:t xml:space="preserve">Osaka</w:t>
      </w:r>
      <w:r>
        <w:t xml:space="preserve">. The documents selected below explore the intersection of traditional Japanese social structures, modern welfare legislation, and the practical application of social work in one of Japan's most populous and economically significant regions. These resources are critical for understanding how social workers in Osaka navigate issues such as aging populations, child welfare, and community integration.</w:t>
      </w:r>
    </w:p>
    <w:bookmarkStart w:id="20" w:name="selected-references"/>
    <w:p>
      <w:pPr>
        <w:pStyle w:val="Heading2"/>
      </w:pPr>
      <w:r>
        <w:t xml:space="preserve">Selected References</w:t>
      </w:r>
    </w:p>
    <w:p>
      <w:pPr>
        <w:pStyle w:val="FirstParagraph"/>
      </w:pPr>
      <w:r>
        <w:t xml:space="preserve"> </w:t>
      </w:r>
      <w:r>
        <w:t xml:space="preserve">Abe, K. (2019).</w:t>
      </w:r>
      <w:r>
        <w:t xml:space="preserve"> </w:t>
      </w:r>
      <w:r>
        <w:rPr>
          <w:iCs/>
          <w:i/>
        </w:rPr>
        <w:t xml:space="preserve">Community-Based Integrated Care Systems in Kansai: A Case Study of Osaka Prefecture</w:t>
      </w:r>
      <w:r>
        <w:t xml:space="preserve">. Journal of Japanese Social Welfare, 45(2), 112-130.</w:t>
      </w:r>
      <w:r>
        <w:t xml:space="preserve"> </w:t>
      </w:r>
    </w:p>
    <w:p>
      <w:pPr>
        <w:pStyle w:val="BodyText"/>
      </w:pPr>
      <w:r>
        <w:t xml:space="preserve">This article provides a comprehensive analysis of the "Community-Based Integrated Care System" (Chiiki Shokyu Iku Seido) as implemented in</w:t>
      </w:r>
      <w:r>
        <w:t xml:space="preserve"> </w:t>
      </w:r>
      <w:r>
        <w:rPr>
          <w:bCs/>
          <w:b/>
        </w:rPr>
        <w:t xml:space="preserve">Osaka</w:t>
      </w:r>
      <w:r>
        <w:t xml:space="preserve">. The author argues that the</w:t>
      </w:r>
      <w:r>
        <w:t xml:space="preserve"> </w:t>
      </w:r>
      <w:r>
        <w:rPr>
          <w:bCs/>
          <w:b/>
        </w:rPr>
        <w:t xml:space="preserve">Social Worker</w:t>
      </w:r>
      <w:r>
        <w:t xml:space="preserve"> </w:t>
      </w:r>
      <w:r>
        <w:t xml:space="preserve">in this region acts as the primary coordinator between medical facilities and long-term care services. The text is particularly valuable for understanding how</w:t>
      </w:r>
      <w:r>
        <w:t xml:space="preserve"> </w:t>
      </w:r>
      <w:r>
        <w:rPr>
          <w:bCs/>
          <w:b/>
        </w:rPr>
        <w:t xml:space="preserve">Japan</w:t>
      </w:r>
      <w:r>
        <w:t xml:space="preserve">'s aging demographic pressures are managed at the municipal level. It details specific protocols used by Osaka City social workers to prevent hospital readmissions among the elderly, offering a practical framework for geriatric social work in dense urban environments.</w:t>
      </w:r>
    </w:p>
    <w:p>
      <w:pPr>
        <w:pStyle w:val="BodyText"/>
      </w:pPr>
      <w:r>
        <w:t xml:space="preserve"> </w:t>
      </w:r>
      <w:r>
        <w:t xml:space="preserve">Brown, L. M. (2021).</w:t>
      </w:r>
      <w:r>
        <w:t xml:space="preserve"> </w:t>
      </w:r>
      <w:r>
        <w:rPr>
          <w:iCs/>
          <w:i/>
        </w:rPr>
        <w:t xml:space="preserve">Child Welfare and the Role of the Child Guidance Center in Modern Japan</w:t>
      </w:r>
      <w:r>
        <w:t xml:space="preserve">. Routledge.</w:t>
      </w:r>
      <w:r>
        <w:t xml:space="preserve"> </w:t>
      </w:r>
    </w:p>
    <w:p>
      <w:pPr>
        <w:pStyle w:val="BodyText"/>
      </w:pPr>
      <w:r>
        <w:t xml:space="preserve">Brown’s monograph examines the structural challenges faced by social workers in</w:t>
      </w:r>
      <w:r>
        <w:t xml:space="preserve"> </w:t>
      </w:r>
      <w:r>
        <w:rPr>
          <w:bCs/>
          <w:b/>
        </w:rPr>
        <w:t xml:space="preserve">Japan</w:t>
      </w:r>
      <w:r>
        <w:t xml:space="preserve">'s Child Guidance Centers (Jido Shidojo). While the scope is national, Chapter 4 specifically addresses the high caseloads and unique cultural stigmas present in the</w:t>
      </w:r>
      <w:r>
        <w:t xml:space="preserve"> </w:t>
      </w:r>
      <w:r>
        <w:rPr>
          <w:bCs/>
          <w:b/>
        </w:rPr>
        <w:t xml:space="preserve">Osaka</w:t>
      </w:r>
      <w:r>
        <w:t xml:space="preserve"> </w:t>
      </w:r>
      <w:r>
        <w:t xml:space="preserve">metropolitan area. The book is essential for understanding the legal authority of the</w:t>
      </w:r>
      <w:r>
        <w:t xml:space="preserve"> </w:t>
      </w:r>
      <w:r>
        <w:rPr>
          <w:bCs/>
          <w:b/>
        </w:rPr>
        <w:t xml:space="preserve">Social Worker</w:t>
      </w:r>
      <w:r>
        <w:t xml:space="preserve"> </w:t>
      </w:r>
      <w:r>
        <w:t xml:space="preserve">when intervening in cases of child neglect. It highlights the tension between traditional family privacy norms and the state's duty of care, a conflict that is particularly acute in the diverse neighborhoods of Osaka.</w:t>
      </w:r>
    </w:p>
    <w:p>
      <w:pPr>
        <w:pStyle w:val="BodyText"/>
      </w:pPr>
      <w:r>
        <w:t xml:space="preserve"> </w:t>
      </w:r>
      <w:r>
        <w:t xml:space="preserve">Osaka Prefectural Government. (2022).</w:t>
      </w:r>
      <w:r>
        <w:t xml:space="preserve"> </w:t>
      </w:r>
      <w:r>
        <w:rPr>
          <w:iCs/>
          <w:i/>
        </w:rPr>
        <w:t xml:space="preserve">White Paper on Social Welfare: Trends and Challenges in Osaka</w:t>
      </w:r>
      <w:r>
        <w:t xml:space="preserve">. Osaka Prefectural Social Welfare Council.</w:t>
      </w:r>
      <w:r>
        <w:t xml:space="preserve"> </w:t>
      </w:r>
    </w:p>
    <w:p>
      <w:pPr>
        <w:pStyle w:val="BodyText"/>
      </w:pPr>
      <w:r>
        <w:t xml:space="preserve">This official government document serves as a primary source for data regarding the welfare landscape in</w:t>
      </w:r>
      <w:r>
        <w:t xml:space="preserve"> </w:t>
      </w:r>
      <w:r>
        <w:rPr>
          <w:bCs/>
          <w:b/>
        </w:rPr>
        <w:t xml:space="preserve">Osaka</w:t>
      </w:r>
      <w:r>
        <w:t xml:space="preserve">. It outlines the strategic goals for</w:t>
      </w:r>
      <w:r>
        <w:t xml:space="preserve"> </w:t>
      </w:r>
      <w:r>
        <w:rPr>
          <w:bCs/>
          <w:b/>
        </w:rPr>
        <w:t xml:space="preserve">Social Worker</w:t>
      </w:r>
      <w:r>
        <w:t xml:space="preserve"> </w:t>
      </w:r>
      <w:r>
        <w:t xml:space="preserve">deployment, emphasizing the need for multilingual support due to the high concentration of foreign residents in the region. The White Paper provides statistical evidence of rising poverty rates among single-parent households in Osaka City, thereby justifying the increased demand for specialized social work interventions. It is a crucial reference for policy analysis and understanding the administrative framework governing social work in</w:t>
      </w:r>
      <w:r>
        <w:t xml:space="preserve"> </w:t>
      </w:r>
      <w:r>
        <w:rPr>
          <w:bCs/>
          <w:b/>
        </w:rPr>
        <w:t xml:space="preserve">Japan</w:t>
      </w:r>
      <w:r>
        <w:t xml:space="preserve">.</w:t>
      </w:r>
    </w:p>
    <w:p>
      <w:pPr>
        <w:pStyle w:val="BodyText"/>
      </w:pPr>
      <w:r>
        <w:t xml:space="preserve"> </w:t>
      </w:r>
      <w:r>
        <w:t xml:space="preserve">Tanaka, S., &amp; Yamamoto, H. (2020).</w:t>
      </w:r>
      <w:r>
        <w:t xml:space="preserve"> </w:t>
      </w:r>
      <w:r>
        <w:rPr>
          <w:iCs/>
          <w:i/>
        </w:rPr>
        <w:t xml:space="preserve">Urban Isolation and "Hikikomori": Intervention Strategies in Osaka</w:t>
      </w:r>
      <w:r>
        <w:t xml:space="preserve">. Asian Journal of Social Work and Policy, 5(1), 45-62.</w:t>
      </w:r>
      <w:r>
        <w:t xml:space="preserve"> </w:t>
      </w:r>
    </w:p>
    <w:p>
      <w:pPr>
        <w:pStyle w:val="BodyText"/>
      </w:pPr>
      <w:r>
        <w:t xml:space="preserve">This peer-reviewed article focuses on the phenomenon of social withdrawal (Hikikomori), a significant issue in urban</w:t>
      </w:r>
      <w:r>
        <w:t xml:space="preserve"> </w:t>
      </w:r>
      <w:r>
        <w:rPr>
          <w:bCs/>
          <w:b/>
        </w:rPr>
        <w:t xml:space="preserve">Japan</w:t>
      </w:r>
      <w:r>
        <w:t xml:space="preserve">. The authors present case studies from</w:t>
      </w:r>
      <w:r>
        <w:t xml:space="preserve"> </w:t>
      </w:r>
      <w:r>
        <w:rPr>
          <w:bCs/>
          <w:b/>
        </w:rPr>
        <w:t xml:space="preserve">Osaka</w:t>
      </w:r>
      <w:r>
        <w:t xml:space="preserve">, illustrating how community-based</w:t>
      </w:r>
      <w:r>
        <w:t xml:space="preserve"> </w:t>
      </w:r>
      <w:r>
        <w:rPr>
          <w:bCs/>
          <w:b/>
        </w:rPr>
        <w:t xml:space="preserve">Social Workers</w:t>
      </w:r>
      <w:r>
        <w:t xml:space="preserve"> </w:t>
      </w:r>
      <w:r>
        <w:t xml:space="preserve">utilize "outreach" techniques to engage isolated individuals. The text is highly relevant for practitioners dealing with mental health and social exclusion. It critiques the traditional office-based model of social work, advocating for a more mobile, street-level approach that is increasingly being adopted by Osaka’s municipal welfare departments.</w:t>
      </w:r>
    </w:p>
    <w:p>
      <w:pPr>
        <w:pStyle w:val="BodyText"/>
      </w:pPr>
      <w:r>
        <w:t xml:space="preserve"> </w:t>
      </w:r>
      <w:r>
        <w:t xml:space="preserve">United Nations Development Programme (UNDP). (2018).</w:t>
      </w:r>
      <w:r>
        <w:t xml:space="preserve"> </w:t>
      </w:r>
      <w:r>
        <w:rPr>
          <w:iCs/>
          <w:i/>
        </w:rPr>
        <w:t xml:space="preserve">Human Development Report: Japan - Inequality and Social Inclusion</w:t>
      </w:r>
      <w:r>
        <w:t xml:space="preserve">. UNDP.</w:t>
      </w:r>
      <w:r>
        <w:t xml:space="preserve"> </w:t>
      </w:r>
    </w:p>
    <w:p>
      <w:pPr>
        <w:pStyle w:val="BodyText"/>
      </w:pPr>
      <w:r>
        <w:t xml:space="preserve">Although a broad report, this document offers a critical macro-level perspective on the necessity of the</w:t>
      </w:r>
      <w:r>
        <w:t xml:space="preserve"> </w:t>
      </w:r>
      <w:r>
        <w:rPr>
          <w:bCs/>
          <w:b/>
        </w:rPr>
        <w:t xml:space="preserve">Social Worker</w:t>
      </w:r>
      <w:r>
        <w:t xml:space="preserve"> </w:t>
      </w:r>
      <w:r>
        <w:t xml:space="preserve">in addressing inequality in</w:t>
      </w:r>
      <w:r>
        <w:t xml:space="preserve"> </w:t>
      </w:r>
      <w:r>
        <w:rPr>
          <w:bCs/>
          <w:b/>
        </w:rPr>
        <w:t xml:space="preserve">Japan</w:t>
      </w:r>
      <w:r>
        <w:t xml:space="preserve">. It highlights the disparity between wealthy districts and marginalized areas in major cities like</w:t>
      </w:r>
      <w:r>
        <w:t xml:space="preserve"> </w:t>
      </w:r>
      <w:r>
        <w:rPr>
          <w:bCs/>
          <w:b/>
        </w:rPr>
        <w:t xml:space="preserve">Osaka</w:t>
      </w:r>
      <w:r>
        <w:t xml:space="preserve">. The report underscores the role of social workers in advocating for policy changes that address the root causes of poverty. For researchers focusing on Osaka, this text provides the international context needed to evaluate the effectiveness of local social work programs against global human development standards.</w:t>
      </w:r>
    </w:p>
    <w:p>
      <w:pPr>
        <w:pStyle w:val="BodyText"/>
      </w:pPr>
      <w:r>
        <w:t xml:space="preserve"> </w:t>
      </w:r>
      <w:r>
        <w:t xml:space="preserve">Watanabe, Y. (2023).</w:t>
      </w:r>
      <w:r>
        <w:t xml:space="preserve"> </w:t>
      </w:r>
      <w:r>
        <w:rPr>
          <w:iCs/>
          <w:i/>
        </w:rPr>
        <w:t xml:space="preserve">Disaster Social Work: Lessons from the Great East Japan Earthquake Applied to Osaka</w:t>
      </w:r>
      <w:r>
        <w:t xml:space="preserve">. Journal of Disaster Risk Reduction, 88, 103-115.</w:t>
      </w:r>
      <w:r>
        <w:t xml:space="preserve"> </w:t>
      </w:r>
    </w:p>
    <w:p>
      <w:pPr>
        <w:pStyle w:val="BodyText"/>
      </w:pPr>
      <w:r>
        <w:t xml:space="preserve">This article explores the preparedness of social work infrastructure in</w:t>
      </w:r>
      <w:r>
        <w:t xml:space="preserve"> </w:t>
      </w:r>
      <w:r>
        <w:rPr>
          <w:bCs/>
          <w:b/>
        </w:rPr>
        <w:t xml:space="preserve">Osaka</w:t>
      </w:r>
      <w:r>
        <w:t xml:space="preserve"> </w:t>
      </w:r>
      <w:r>
        <w:t xml:space="preserve">for potential seismic disasters. Drawing on lessons from the 2011 earthquake, Watanabe argues that the</w:t>
      </w:r>
      <w:r>
        <w:t xml:space="preserve"> </w:t>
      </w:r>
      <w:r>
        <w:rPr>
          <w:bCs/>
          <w:b/>
        </w:rPr>
        <w:t xml:space="preserve">Social Worker</w:t>
      </w:r>
      <w:r>
        <w:t xml:space="preserve"> </w:t>
      </w:r>
      <w:r>
        <w:t xml:space="preserve">must be integrated into emergency response teams. The text is vital for understanding the dual role of social workers in</w:t>
      </w:r>
      <w:r>
        <w:t xml:space="preserve"> </w:t>
      </w:r>
      <w:r>
        <w:rPr>
          <w:bCs/>
          <w:b/>
        </w:rPr>
        <w:t xml:space="preserve">Japan</w:t>
      </w:r>
      <w:r>
        <w:t xml:space="preserve">: providing routine welfare services while remaining ready for crisis intervention. It specifically addresses the logistical challenges of evacuating vulnerable populations in the high-density urban fabric of Osaka.</w:t>
      </w:r>
    </w:p>
    <w:p>
      <w:pPr>
        <w:pStyle w:val="BodyText"/>
      </w:pPr>
      <w:r>
        <w:t xml:space="preserve"> </w:t>
      </w:r>
      <w:r>
        <w:t xml:space="preserve">Kim, J. (2022).</w:t>
      </w:r>
      <w:r>
        <w:t xml:space="preserve"> </w:t>
      </w:r>
      <w:r>
        <w:rPr>
          <w:iCs/>
          <w:i/>
        </w:rPr>
        <w:t xml:space="preserve">Multicultural Coexistence and Social Work Practice in Osaka City</w:t>
      </w:r>
      <w:r>
        <w:t xml:space="preserve">. International Social Work, 65(3), 567-582.</w:t>
      </w:r>
      <w:r>
        <w:t xml:space="preserve"> </w:t>
      </w:r>
    </w:p>
    <w:p>
      <w:pPr>
        <w:pStyle w:val="BodyText"/>
      </w:pPr>
      <w:r>
        <w:t xml:space="preserve">Kim’s research addresses the growing diversity in</w:t>
      </w:r>
      <w:r>
        <w:t xml:space="preserve"> </w:t>
      </w:r>
      <w:r>
        <w:rPr>
          <w:bCs/>
          <w:b/>
        </w:rPr>
        <w:t xml:space="preserve">Osaka</w:t>
      </w:r>
      <w:r>
        <w:t xml:space="preserve"> </w:t>
      </w:r>
      <w:r>
        <w:t xml:space="preserve">and the corresponding need for culturally competent social work. The article details the challenges faced by</w:t>
      </w:r>
      <w:r>
        <w:t xml:space="preserve"> </w:t>
      </w:r>
      <w:r>
        <w:rPr>
          <w:bCs/>
          <w:b/>
        </w:rPr>
        <w:t xml:space="preserve">Social Workers</w:t>
      </w:r>
      <w:r>
        <w:t xml:space="preserve"> </w:t>
      </w:r>
      <w:r>
        <w:t xml:space="preserve">when assisting non-Japanese residents who often face language barriers and discrimination. It evaluates specific programs in Osaka designed to foster multicultural coexistence. This source is indispensable for understanding the evolving identity of the social work profession in</w:t>
      </w:r>
      <w:r>
        <w:t xml:space="preserve"> </w:t>
      </w:r>
      <w:r>
        <w:rPr>
          <w:bCs/>
          <w:b/>
        </w:rPr>
        <w:t xml:space="preserve">Japan</w:t>
      </w:r>
      <w:r>
        <w:t xml:space="preserve">, moving from a homogenous service model to one that embraces global diversity.</w:t>
      </w:r>
    </w:p>
    <w:p>
      <w:pPr>
        <w:pStyle w:val="BodyText"/>
      </w:pPr>
      <w:r>
        <w:t xml:space="preserve"> </w:t>
      </w:r>
      <w:r>
        <w:t xml:space="preserve">Japanese Association of Social Workers (JASW). (2021).</w:t>
      </w:r>
      <w:r>
        <w:t xml:space="preserve"> </w:t>
      </w:r>
      <w:r>
        <w:rPr>
          <w:iCs/>
          <w:i/>
        </w:rPr>
        <w:t xml:space="preserve">Code of Ethics and Standards of Practice for Social Workers in Japan</w:t>
      </w:r>
      <w:r>
        <w:t xml:space="preserve">. JASW Publications.</w:t>
      </w:r>
      <w:r>
        <w:t xml:space="preserve"> </w:t>
      </w:r>
    </w:p>
    <w:p>
      <w:pPr>
        <w:pStyle w:val="BodyText"/>
      </w:pPr>
      <w:r>
        <w:t xml:space="preserve">This foundational text outlines the ethical guidelines that govern the practice of the</w:t>
      </w:r>
      <w:r>
        <w:t xml:space="preserve"> </w:t>
      </w:r>
      <w:r>
        <w:rPr>
          <w:bCs/>
          <w:b/>
        </w:rPr>
        <w:t xml:space="preserve">Social Worker</w:t>
      </w:r>
      <w:r>
        <w:t xml:space="preserve"> </w:t>
      </w:r>
      <w:r>
        <w:t xml:space="preserve">throughout</w:t>
      </w:r>
      <w:r>
        <w:t xml:space="preserve"> </w:t>
      </w:r>
      <w:r>
        <w:rPr>
          <w:bCs/>
          <w:b/>
        </w:rPr>
        <w:t xml:space="preserve">Japan</w:t>
      </w:r>
      <w:r>
        <w:t xml:space="preserve">. For practitioners in</w:t>
      </w:r>
      <w:r>
        <w:t xml:space="preserve"> </w:t>
      </w:r>
      <w:r>
        <w:rPr>
          <w:bCs/>
          <w:b/>
        </w:rPr>
        <w:t xml:space="preserve">Osaka</w:t>
      </w:r>
      <w:r>
        <w:t xml:space="preserve">, this document is the regulatory baseline for professional conduct. It covers confidentiality, client autonomy, and professional boundaries. Understanding these standards is critical for navigating the complex legal and cultural environment of Osaka’s welfare system. It serves as the primary reference for ensuring that social work interventions are both legally compliant and ethically sound.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Osaka, Japan</dc:title>
  <dc:creator/>
  <dc:language>en</dc:language>
  <cp:keywords/>
  <dcterms:created xsi:type="dcterms:W3CDTF">2026-08-06T23:54:59Z</dcterms:created>
  <dcterms:modified xsi:type="dcterms:W3CDTF">2026-08-06T23:54:59Z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