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Kuwait</w:t>
      </w:r>
      <w:r>
        <w:t xml:space="preserve"> </w:t>
      </w:r>
      <w:r>
        <w:t xml:space="preserve">City</w:t>
      </w:r>
    </w:p>
    <w:bookmarkStart w:id="21" w:name="X2c42d326f214962d0a9731f839a37b039471ec4"/>
    <w:p>
      <w:pPr>
        <w:pStyle w:val="Heading1"/>
      </w:pPr>
      <w:r>
        <w:t xml:space="preserve">Annotated Bibliography: The Role of the Social Worker in Kuwait City</w:t>
      </w:r>
    </w:p>
    <w:p>
      <w:pPr>
        <w:pStyle w:val="FirstParagraph"/>
      </w:pPr>
      <w:r>
        <w:t xml:space="preserve">The following annotated bibliography compiles essential literature regarding the practice of social work within the specific socio-cultural and legal context of Kuwait City. As the capital of the State of Kuwait, Kuwait City presents a unique environment for the social worker, characterized by a blend of traditional tribal values, a rapidly modernizing urban infrastructure, and a complex demographic structure involving both citizens and expatriates. These sources explore the challenges, ethical considerations, and structural frameworks that define the profession in this region.</w:t>
      </w:r>
    </w:p>
    <w:bookmarkStart w:id="20" w:name="references"/>
    <w:p>
      <w:pPr>
        <w:pStyle w:val="Heading2"/>
      </w:pPr>
      <w:r>
        <w:t xml:space="preserve">References</w:t>
      </w:r>
    </w:p>
    <w:p>
      <w:pPr>
        <w:pStyle w:val="FirstParagraph"/>
      </w:pPr>
      <w:r>
        <w:t xml:space="preserve">Al-Saleh, A. (2018).</w:t>
      </w:r>
      <w:r>
        <w:t xml:space="preserve"> </w:t>
      </w:r>
      <w:r>
        <w:rPr>
          <w:iCs/>
          <w:i/>
        </w:rPr>
        <w:t xml:space="preserve">Family Dynamics and Social Intervention in the Gulf: A Kuwaiti Perspective</w:t>
      </w:r>
      <w:r>
        <w:t xml:space="preserve">. Journal of Arab and Islamic Studies, 15(2), 45-62.</w:t>
      </w:r>
    </w:p>
    <w:p>
      <w:pPr>
        <w:pStyle w:val="BodyText"/>
      </w:pPr>
      <w:r>
        <w:t xml:space="preserve">This article provides a critical analysis of how the traditional family structure in Kuwait City influences the approach of the social worker. Al-Saleh argues that in Kuwait, the family unit is the primary mechanism for social support, often rendering state intervention secondary. For a social worker operating in Kuwait City, understanding this hierarchy is vital. The author details case studies where social workers successfully navigated tribal hierarchies to assist vulnerable women and children. This source is particularly relevant for practitioners who must balance professional autonomy with the deep-seated cultural respect for family elders. It highlights that effective social work in Kuwait City requires a culturally sensitive approach that integrates, rather than opposes, traditional family networks.</w:t>
      </w:r>
    </w:p>
    <w:p>
      <w:pPr>
        <w:pStyle w:val="BodyText"/>
      </w:pPr>
      <w:r>
        <w:t xml:space="preserve">Ministry of Social Affairs and Labor. (2020).</w:t>
      </w:r>
      <w:r>
        <w:t xml:space="preserve"> </w:t>
      </w:r>
      <w:r>
        <w:rPr>
          <w:iCs/>
          <w:i/>
        </w:rPr>
        <w:t xml:space="preserve">Annual Report on Social Services and Community Development</w:t>
      </w:r>
      <w:r>
        <w:t xml:space="preserve">. Government of Kuwait.</w:t>
      </w:r>
    </w:p>
    <w:p>
      <w:pPr>
        <w:pStyle w:val="BodyText"/>
      </w:pPr>
      <w:r>
        <w:t xml:space="preserve">As an official government document, this report outlines the statutory responsibilities of social workers employed by the state in Kuwait City. It details the funding allocations for social centers, rehabilitation programs, and support for persons with disabilities. The report is essential for understanding the bureaucratic landscape in which a social worker must operate. It highlights the government's focus on "Kuwaitization" of social services, meaning a push for local nationals to fill professional roles. For a social worker in Kuwait City, this document serves as a roadmap for available resources, legal mandates, and the specific demographic data regarding poverty and social exclusion within the capital's districts.</w:t>
      </w:r>
    </w:p>
    <w:p>
      <w:pPr>
        <w:pStyle w:val="BodyText"/>
      </w:pPr>
      <w:r>
        <w:t xml:space="preserve">Nasser, R. (2019).</w:t>
      </w:r>
      <w:r>
        <w:t xml:space="preserve"> </w:t>
      </w:r>
      <w:r>
        <w:rPr>
          <w:iCs/>
          <w:i/>
        </w:rPr>
        <w:t xml:space="preserve">Mental Health Stigma and the Role of the Social Worker in Urban Kuwait</w:t>
      </w:r>
      <w:r>
        <w:t xml:space="preserve">. International Journal of Mental Health Systems, 13(1), 112.</w:t>
      </w:r>
    </w:p>
    <w:p>
      <w:pPr>
        <w:pStyle w:val="BodyText"/>
      </w:pPr>
      <w:r>
        <w:t xml:space="preserve">Nasser’s research addresses a critical gap in the literature: the intersection of mental health and social work in Kuwait City. The study reveals that despite the high standard of living in the capital, there is significant stigma surrounding psychological issues. The social worker is often the first point of contact for individuals seeking help, acting as a bridge between the community and clinical psychiatry. This source is invaluable for social workers dealing with addiction, depression, and anxiety in Kuwait City. It emphasizes the need for advocacy and psychoeducation as core competencies for the profession in this specific cultural context, where mental health is often misunderstood or ignored.</w:t>
      </w:r>
    </w:p>
    <w:p>
      <w:pPr>
        <w:pStyle w:val="BodyText"/>
      </w:pPr>
      <w:r>
        <w:t xml:space="preserve">Al-Kandari, S., &amp; Smith, J. (2021).</w:t>
      </w:r>
      <w:r>
        <w:t xml:space="preserve"> </w:t>
      </w:r>
      <w:r>
        <w:rPr>
          <w:iCs/>
          <w:i/>
        </w:rPr>
        <w:t xml:space="preserve">Expatriate Vulnerability and Social Protection in Kuwait City</w:t>
      </w:r>
      <w:r>
        <w:t xml:space="preserve">. Middle East Journal of Human Rights, 7(3), 88-104.</w:t>
      </w:r>
    </w:p>
    <w:p>
      <w:pPr>
        <w:pStyle w:val="BodyText"/>
      </w:pPr>
      <w:r>
        <w:t xml:space="preserve">This paper examines the precarious position of expatriate workers, who constitute the majority of the population in Kuwait City. Al-Kandari and Smith argue that the social worker plays a unique, often under-recognized role in advocating for non-citizens who face labor exploitation and housing insecurity. The authors discuss the limitations imposed by the Kafala system and how social workers in Kuwait City navigate these legal constraints to provide humanitarian aid. This source is crucial for understanding the dual nature of social work in the capital: serving the citizenry through state benefits while simultaneously providing grassroots support to the vulnerable expatriate community. It highlights the ethical dilemmas social workers face when legal frameworks do not fully protect all residents.</w:t>
      </w:r>
    </w:p>
    <w:p>
      <w:pPr>
        <w:pStyle w:val="BodyText"/>
      </w:pPr>
      <w:r>
        <w:t xml:space="preserve">Kuwait University. (2017).</w:t>
      </w:r>
      <w:r>
        <w:t xml:space="preserve"> </w:t>
      </w:r>
      <w:r>
        <w:rPr>
          <w:iCs/>
          <w:i/>
        </w:rPr>
        <w:t xml:space="preserve">Curriculum Review: Bachelor of Social Work</w:t>
      </w:r>
      <w:r>
        <w:t xml:space="preserve">. Faculty of Social Sciences.</w:t>
      </w:r>
    </w:p>
    <w:p>
      <w:pPr>
        <w:pStyle w:val="BodyText"/>
      </w:pPr>
      <w:r>
        <w:t xml:space="preserve">This internal document from Kuwait University outlines the educational requirements for becoming a qualified social worker in the country. It details the integration of Islamic ethics and Arab social values into the standard social work curriculum. For any professional or student entering the field in Kuwait City, this source explains the theoretical foundation of the practice. It demonstrates that social work in Kuwait is not merely an import of Western models but is adapted to fit local religious and cultural norms. The document is useful for understanding the professional standards, ethical codes, and practical training expectations required to practice legally and effectively in Kuwait City.</w:t>
      </w:r>
    </w:p>
    <w:p>
      <w:pPr>
        <w:pStyle w:val="BodyText"/>
      </w:pPr>
      <w:r>
        <w:t xml:space="preserve">Al-Mutairi, H. (2022).</w:t>
      </w:r>
      <w:r>
        <w:t xml:space="preserve"> </w:t>
      </w:r>
      <w:r>
        <w:rPr>
          <w:iCs/>
          <w:i/>
        </w:rPr>
        <w:t xml:space="preserve">Child Protection Services in Kuwait: Challenges and Opportunities</w:t>
      </w:r>
      <w:r>
        <w:t xml:space="preserve">. Child Abuse &amp; Neglect, 125, 105-118.</w:t>
      </w:r>
    </w:p>
    <w:p>
      <w:pPr>
        <w:pStyle w:val="BodyText"/>
      </w:pPr>
      <w:r>
        <w:t xml:space="preserve">Al-Mutairi focuses on the specialized field of child protection within Kuwait City. The article discusses the rise in reported cases of domestic violence and child neglect, and the subsequent response by social workers. It critiques the current legal framework for being slow to adapt to modern forms of abuse, such as cyberbullying and digital exploitation. The author emphasizes the social worker’s role as a mandatory reporter and a case manager in complex family law situations. This source is highly relevant for social workers specializing in juvenile affairs in Kuwait City, offering insights into inter-agency cooperation between the police, the courts, and social services.</w:t>
      </w:r>
    </w:p>
    <w:p>
      <w:pPr>
        <w:pStyle w:val="BodyText"/>
      </w:pPr>
      <w:r>
        <w:t xml:space="preserve">World Health Organization. (2019).</w:t>
      </w:r>
      <w:r>
        <w:t xml:space="preserve"> </w:t>
      </w:r>
      <w:r>
        <w:rPr>
          <w:iCs/>
          <w:i/>
        </w:rPr>
        <w:t xml:space="preserve">NCD Risk Factor Collaboration: Kuwait Country Profile</w:t>
      </w:r>
      <w:r>
        <w:t xml:space="preserve">. WHO Regional Office for the Eastern Mediterranean.</w:t>
      </w:r>
    </w:p>
    <w:p>
      <w:pPr>
        <w:pStyle w:val="BodyText"/>
      </w:pPr>
      <w:r>
        <w:t xml:space="preserve">While not exclusively about social work, this WHO report provides critical epidemiological data regarding Non-Communicable Diseases (NCDs) such as diabetes and obesity in Kuwait City. Social workers in the capital are increasingly involved in community health initiatives and chronic disease management support. This source provides the statistical backing for why social workers must collaborate with healthcare providers. It highlights the socioeconomic factors contributing to poor health outcomes in Kuwait City, allowing social workers to design better community outreach programs that address the root causes of health disparities among different neighborhoods in the city.</w:t>
      </w:r>
    </w:p>
    <w:p>
      <w:pPr>
        <w:pStyle w:val="BodyText"/>
      </w:pPr>
      <w:r>
        <w:t xml:space="preserve">Al-Rashid, M. (2023).</w:t>
      </w:r>
      <w:r>
        <w:t xml:space="preserve"> </w:t>
      </w:r>
      <w:r>
        <w:rPr>
          <w:iCs/>
          <w:i/>
        </w:rPr>
        <w:t xml:space="preserve">Disability Rights and Inclusion in Kuwaiti Urban Planning</w:t>
      </w:r>
      <w:r>
        <w:t xml:space="preserve">. Journal of Disability Policy Studies, 34(1), 22-35.</w:t>
      </w:r>
    </w:p>
    <w:p>
      <w:pPr>
        <w:pStyle w:val="BodyText"/>
      </w:pPr>
      <w:r>
        <w:t xml:space="preserve">This recent article explores the physical and social barriers faced by persons with disabilities in Kuwait City. Al-Rashid argues that while infrastructure is improving, the social worker remains the primary advocate for the rights and inclusion of disabled individuals. The paper discusses the role of social workers in facilitating access to education, employment, and public spaces. It is a vital resource for social workers in Kuwait City who are tasked with implementing the new disability laws. It underscores the shift from a medical model of disability to a social model, requiring social workers to focus on environmental adaptation and societal attitude change within the urban fabric of Kuwait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Kuwait City</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