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Wellington,</w:t>
      </w:r>
      <w:r>
        <w:t xml:space="preserve"> </w:t>
      </w:r>
      <w:r>
        <w:t xml:space="preserve">New</w:t>
      </w:r>
      <w:r>
        <w:t xml:space="preserve"> </w:t>
      </w:r>
      <w:r>
        <w:t xml:space="preserve">Zealand</w:t>
      </w:r>
    </w:p>
    <w:bookmarkStart w:id="21" w:name="Xa372d7a4cb0ef11936199b6b85f7f01fc7a3f29"/>
    <w:p>
      <w:pPr>
        <w:pStyle w:val="Heading1"/>
      </w:pPr>
      <w:r>
        <w:t xml:space="preserve">Annotated Bibliography: Social Work Practice in Wellington, New Zealand</w:t>
      </w:r>
    </w:p>
    <w:p>
      <w:pPr>
        <w:pStyle w:val="FirstParagraph"/>
      </w:pPr>
      <w:r>
        <w:t xml:space="preserve">The following annotated bibliography compiles essential literature regarding the role, responsibilities, and contextual challenges of a Social Worker operating within the specific environment of Wellington, New Zealand. This collection addresses the intersection of national policy, Te Tiriti o Waitangi obligations, and the unique socio-economic landscape of the capital city. These resources are critical for understanding how social workers in Wellington navigate housing crises, mental health support, and indigenous rights within the Wellington Region.</w:t>
      </w:r>
    </w:p>
    <w:bookmarkStart w:id="20" w:name="references"/>
    <w:p>
      <w:pPr>
        <w:pStyle w:val="Heading2"/>
      </w:pPr>
      <w:r>
        <w:t xml:space="preserve">References</w:t>
      </w:r>
    </w:p>
    <w:p>
      <w:pPr>
        <w:pStyle w:val="FirstParagraph"/>
      </w:pPr>
      <w:r>
        <w:t xml:space="preserve">Association of Social Work Education Aotearoa New Zealand. (2019).</w:t>
      </w:r>
      <w:r>
        <w:t xml:space="preserve"> </w:t>
      </w:r>
      <w:r>
        <w:rPr>
          <w:iCs/>
          <w:i/>
        </w:rPr>
        <w:t xml:space="preserve">Te Ara Poutama: The Social Work Education Framework</w:t>
      </w:r>
      <w:r>
        <w:t xml:space="preserve">. ASWEANZ.</w:t>
      </w:r>
    </w:p>
    <w:p>
      <w:pPr>
        <w:pStyle w:val="BodyText"/>
      </w:pPr>
      <w:r>
        <w:t xml:space="preserve">This foundational document outlines the core competencies required for social work education and practice in New Zealand. For a Social Worker in Wellington, this framework is indispensable as it mandates a practice model grounded in Te Tiriti o Waitangi. The text details how practitioners must integrate Māori worldviews and tikanga into their daily operations. In the context of Wellington, a city with a significant Māori population and a high concentration of government agencies, this framework guides social workers in delivering culturally safe services. It emphasizes the necessity of bicultural competence, ensuring that interventions in Wellington’s diverse communities are not only legally compliant but also culturally responsive.</w:t>
      </w:r>
    </w:p>
    <w:p>
      <w:pPr>
        <w:pStyle w:val="BodyText"/>
      </w:pPr>
      <w:r>
        <w:t xml:space="preserve">Cabinet Social Policy Committee. (2021).</w:t>
      </w:r>
      <w:r>
        <w:t xml:space="preserve"> </w:t>
      </w:r>
      <w:r>
        <w:rPr>
          <w:iCs/>
          <w:i/>
        </w:rPr>
        <w:t xml:space="preserve">He Oranga Tūpuna: A Strategy for Supporting Older Māori</w:t>
      </w:r>
      <w:r>
        <w:t xml:space="preserve">. New Zealand Government.</w:t>
      </w:r>
    </w:p>
    <w:p>
      <w:pPr>
        <w:pStyle w:val="BodyText"/>
      </w:pPr>
      <w:r>
        <w:t xml:space="preserve">This government strategy provides a roadmap for supporting the wellbeing of older Māori, a demographic that is rapidly growing in New Zealand. For Social Workers in Wellington, particularly those employed by Oranga Tamariki or local health providers, this document is vital. Wellington has a high density of aged care facilities and community support services. This resource assists social workers in understanding the specific health and social determinants affecting Māori elders in the capital. It highlights the importance of whānau-centered care and provides policy backing for social workers to advocate for resources that support independent living and cultural connection for older clients in the Wellington Region.</w:t>
      </w:r>
    </w:p>
    <w:p>
      <w:pPr>
        <w:pStyle w:val="BodyText"/>
      </w:pPr>
      <w:r>
        <w:t xml:space="preserve">Ministry of Social Development. (2023).</w:t>
      </w:r>
      <w:r>
        <w:t xml:space="preserve"> </w:t>
      </w:r>
      <w:r>
        <w:rPr>
          <w:iCs/>
          <w:i/>
        </w:rPr>
        <w:t xml:space="preserve">Wellington Region Social Needs Assessment</w:t>
      </w:r>
      <w:r>
        <w:t xml:space="preserve">. MSD.</w:t>
      </w:r>
    </w:p>
    <w:p>
      <w:pPr>
        <w:pStyle w:val="BodyText"/>
      </w:pPr>
      <w:r>
        <w:t xml:space="preserve">This report offers a granular analysis of the socio-economic conditions specific to the Wellington Region. It identifies key issues such as housing affordability, unemployment rates, and access to mental health services. For a Social Worker practicing in Wellington, this data is crucial for needs assessment and case planning. The document highlights the disparity between the city’s economic status and the vulnerability of its residents. It provides evidence-based insights that social workers can use to justify referrals to housing support agencies like Wellington City Mission or to advocate for increased funding for local community initiatives. It serves as a practical tool for understanding the local landscape of poverty and inequality.</w:t>
      </w:r>
    </w:p>
    <w:p>
      <w:pPr>
        <w:pStyle w:val="BodyText"/>
      </w:pPr>
      <w:r>
        <w:t xml:space="preserve">New Zealand Order in Council. (2018).</w:t>
      </w:r>
      <w:r>
        <w:t xml:space="preserve"> </w:t>
      </w:r>
      <w:r>
        <w:rPr>
          <w:iCs/>
          <w:i/>
        </w:rPr>
        <w:t xml:space="preserve">Code of Ethics for Social Workers</w:t>
      </w:r>
      <w:r>
        <w:t xml:space="preserve">. Social Workers Registration Board.</w:t>
      </w:r>
    </w:p>
    <w:p>
      <w:pPr>
        <w:pStyle w:val="BodyText"/>
      </w:pPr>
      <w:r>
        <w:t xml:space="preserve">The Code of Ethics is the regulatory standard for all registered Social Workers in New Zealand. It outlines the professional obligations regarding integrity, respect, and social justice. In the high-pressure environment of Wellington, where social workers often deal with complex cases involving child protection and mental health crises, this code provides the ethical compass for decision-making. It specifically addresses the duty to uphold Te Tiriti o Waitangi and to practice in a way that promotes the rights of Māori. For Wellington-based practitioners, adherence to this code is mandatory for maintaining registration and ensuring that their interventions align with national legal and ethical standards.</w:t>
      </w:r>
    </w:p>
    <w:p>
      <w:pPr>
        <w:pStyle w:val="BodyText"/>
      </w:pPr>
      <w:r>
        <w:t xml:space="preserve">Oranga Tamariki. (2022).</w:t>
      </w:r>
      <w:r>
        <w:t xml:space="preserve"> </w:t>
      </w:r>
      <w:r>
        <w:rPr>
          <w:iCs/>
          <w:i/>
        </w:rPr>
        <w:t xml:space="preserve">He Ara Oranga: The Child and Youth Wellbeing Strategy</w:t>
      </w:r>
      <w:r>
        <w:t xml:space="preserve">. Oranga Tamariki.</w:t>
      </w:r>
    </w:p>
    <w:p>
      <w:pPr>
        <w:pStyle w:val="BodyText"/>
      </w:pPr>
      <w:r>
        <w:t xml:space="preserve">This strategy represents a shift in how child and youth wellbeing is approached in New Zealand, moving away from a deficit-based model to one focused on strengths and potential. For Social Workers in Wellington, many of whom are employed by Oranga Tamariki, this document is central to their practice. It emphasizes the importance of keeping children within their whānau, hapū, and iwi whenever possible. In Wellington, where there is a strong network of iwi organizations, this strategy guides social workers in collaborating with local Māori providers to support families. It provides a framework for early intervention and holistic support, which is essential in addressing the complex needs of youth in the capital city.</w:t>
      </w:r>
    </w:p>
    <w:p>
      <w:pPr>
        <w:pStyle w:val="BodyText"/>
      </w:pPr>
      <w:r>
        <w:t xml:space="preserve">Te Puni Kōkiri. (2020).</w:t>
      </w:r>
      <w:r>
        <w:t xml:space="preserve"> </w:t>
      </w:r>
      <w:r>
        <w:rPr>
          <w:iCs/>
          <w:i/>
        </w:rPr>
        <w:t xml:space="preserve">Wellington Region Māori Development Plan</w:t>
      </w:r>
      <w:r>
        <w:t xml:space="preserve">. Te Puni Kōkiri.</w:t>
      </w:r>
    </w:p>
    <w:p>
      <w:pPr>
        <w:pStyle w:val="BodyText"/>
      </w:pPr>
      <w:r>
        <w:t xml:space="preserve">This plan outlines the priorities for Māori development in the Wellington Region, focusing on health, education, and economic participation. For Social Workers in Wellington, this document is a key resource for understanding the strategic goals of the local Māori community. It highlights the importance of self-determination and the role of iwi in delivering social services. Social workers can use this plan to align their practice with the aspirations of the Māori communities they serve. It also provides insights into the specific challenges faced by Māori in Wellington, such as access to culturally appropriate healthcare and employment opportunities, enabling social workers to provide more targeted and effective support.</w:t>
      </w:r>
    </w:p>
    <w:p>
      <w:pPr>
        <w:pStyle w:val="BodyText"/>
      </w:pPr>
      <w:r>
        <w:t xml:space="preserve">Wellington City Council. (2021).</w:t>
      </w:r>
      <w:r>
        <w:t xml:space="preserve"> </w:t>
      </w:r>
      <w:r>
        <w:rPr>
          <w:iCs/>
          <w:i/>
        </w:rPr>
        <w:t xml:space="preserve">Wellington City Social Housing Strategy</w:t>
      </w:r>
      <w:r>
        <w:t xml:space="preserve">. WCC.</w:t>
      </w:r>
    </w:p>
    <w:p>
      <w:pPr>
        <w:pStyle w:val="BodyText"/>
      </w:pPr>
      <w:r>
        <w:t xml:space="preserve">Housing is a critical issue in Wellington, and this strategy outlines the city council’s approach to addressing homelessness and housing insecurity. For Social Workers in Wellington, particularly those working in community services or mental health, this document is essential. It details the available housing options, support services, and pathways to tenancy. Social workers can use this information to assist clients in navigating the complex housing market and accessing support from organizations like Housing New Zealand and local NGOs. The strategy also emphasizes the importance of collaboration between government agencies and community providers, which is crucial for delivering effective housing solutions in the capital city.</w:t>
      </w:r>
    </w:p>
    <w:p>
      <w:pPr>
        <w:pStyle w:val="BodyText"/>
      </w:pPr>
      <w:r>
        <w:t xml:space="preserve">Wharekura, M., &amp; Smith, L. T. (2019).</w:t>
      </w:r>
      <w:r>
        <w:t xml:space="preserve"> </w:t>
      </w:r>
      <w:r>
        <w:rPr>
          <w:iCs/>
          <w:i/>
        </w:rPr>
        <w:t xml:space="preserve">Indigenous Social Work in Aotearoa New Zealand</w:t>
      </w:r>
      <w:r>
        <w:t xml:space="preserve">. Journal of Indigenous Social Work, 8(2), 45-62.</w:t>
      </w:r>
    </w:p>
    <w:p>
      <w:pPr>
        <w:pStyle w:val="BodyText"/>
      </w:pPr>
      <w:r>
        <w:t xml:space="preserve">This academic article explores the principles and practices of Indigenous social work in New Zealand. It provides a critical perspective on the colonial history of social work and its impact on Māori communities. For Social Workers in Wellington, this article is valuable for deepening their understanding of the historical and cultural context of their practice. It emphasizes the importance of decolonizing social work and centering Māori knowledge and practices. The article offers practical insights into how social workers can build trusting relationships with Māori clients and communities, which is essential for effective practice in Wellington’s diverse and multicultural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Wellington, New Zealand</dc:title>
  <dc:creator/>
  <dc:language>en</dc:language>
  <cp:keywords/>
  <dcterms:created xsi:type="dcterms:W3CDTF">2026-08-07T05:33:12Z</dcterms:created>
  <dcterms:modified xsi:type="dcterms:W3CDTF">2026-08-07T05:33:12Z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