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d6b58b0ad842a1aaeab9323ad8100ec2e234dd4"/>
    <w:p>
      <w:pPr>
        <w:pStyle w:val="Heading1"/>
      </w:pPr>
      <w:r>
        <w:t xml:space="preserve">Annotated Bibliography: Social Work Practice in Birmingham, United Kingdom</w:t>
      </w:r>
    </w:p>
    <w:p>
      <w:pPr>
        <w:pStyle w:val="FirstParagraph"/>
      </w:pPr>
      <w:r>
        <w:t xml:space="preserve">This annotated bibliography provides a curated selection of academic texts, government reports, and policy documents relevant to the role of the Social Worker within the specific socio-economic and cultural context of Birmingham, United Kingdom. The selected resources address critical themes including multi-agency collaboration, child protection, the impact of austerity, and culturally competent practice within one of the UK's most diverse metropolitan areas.</w:t>
      </w:r>
    </w:p>
    <w:bookmarkStart w:id="20" w:name="references"/>
    <w:p>
      <w:pPr>
        <w:pStyle w:val="Heading2"/>
      </w:pPr>
      <w:r>
        <w:t xml:space="preserve">References</w:t>
      </w:r>
    </w:p>
    <w:p>
      <w:pPr>
        <w:pStyle w:val="FirstParagraph"/>
      </w:pPr>
      <w:r>
        <w:t xml:space="preserve">Department for Education. (2015).</w:t>
      </w:r>
      <w:r>
        <w:t xml:space="preserve"> </w:t>
      </w:r>
      <w:r>
        <w:rPr>
          <w:iCs/>
          <w:i/>
        </w:rPr>
        <w:t xml:space="preserve">Working Together to Safeguard Children: A guide to inter-agency working to safeguard and promote the welfare of children</w:t>
      </w:r>
      <w:r>
        <w:t xml:space="preserve">. London: HMSO.</w:t>
      </w:r>
    </w:p>
    <w:p>
      <w:pPr>
        <w:pStyle w:val="BodyText"/>
      </w:pPr>
      <w:r>
        <w:t xml:space="preserve">This statutory guidance is the foundational framework for all social workers in the United Kingdom, including those operating in Birmingham. It outlines the legal responsibilities of agencies and individuals to protect children from harm. For a Social Worker in Birmingham, this document is essential for understanding the procedural requirements of multi-agency working, particularly within the complex structures of Birmingham City Council. The text emphasizes the necessity of early help and information sharing, which are critical in a high-density urban environment where vulnerability factors often overlap. It serves as the primary reference for statutory assessments and child protection conferences in the region.</w:t>
      </w:r>
    </w:p>
    <w:p>
      <w:pPr>
        <w:pStyle w:val="BodyText"/>
      </w:pPr>
      <w:r>
        <w:t xml:space="preserve">Birmingham City Council. (2021).</w:t>
      </w:r>
      <w:r>
        <w:t xml:space="preserve"> </w:t>
      </w:r>
      <w:r>
        <w:rPr>
          <w:iCs/>
          <w:i/>
        </w:rPr>
        <w:t xml:space="preserve">Children’s Services Corporate Plan 2021-2026: Building a brighter future for children and families</w:t>
      </w:r>
      <w:r>
        <w:t xml:space="preserve">. Birmingham: Birmingham City Council.</w:t>
      </w:r>
    </w:p>
    <w:p>
      <w:pPr>
        <w:pStyle w:val="BodyText"/>
      </w:pPr>
      <w:r>
        <w:t xml:space="preserve">This local strategic document is vital for understanding the specific operational priorities of social work in Birmingham. It details the council's response to local challenges, including high levels of child poverty and the need for improved outcomes for children with special educational needs and disabilities (SEND). For a Social Worker, this plan provides context for resource allocation and service delivery models within the city. It highlights the council's commitment to preventative services and community-led support, offering insight into how local policy attempts to mitigate the effects of national austerity measures on vulnerable families in Birmingham.</w:t>
      </w:r>
    </w:p>
    <w:p>
      <w:pPr>
        <w:pStyle w:val="BodyText"/>
      </w:pPr>
      <w:r>
        <w:t xml:space="preserve">British Association of Social Workers (BASW). (2020).</w:t>
      </w:r>
      <w:r>
        <w:t xml:space="preserve"> </w:t>
      </w:r>
      <w:r>
        <w:rPr>
          <w:iCs/>
          <w:i/>
        </w:rPr>
        <w:t xml:space="preserve">Anti-racist practice in social work: A guide for practitioners</w:t>
      </w:r>
      <w:r>
        <w:t xml:space="preserve">. London: BASW.</w:t>
      </w:r>
    </w:p>
    <w:p>
      <w:pPr>
        <w:pStyle w:val="BodyText"/>
      </w:pPr>
      <w:r>
        <w:t xml:space="preserve">Given Birmingham’s status as one of the most ethnically diverse cities in the United Kingdom, this publication is indispensable for contemporary social work practice. It provides a framework for recognizing and challenging systemic racism within social care systems. The text offers practical tools for Social Workers to engage in culturally competent practice, ensuring that assessments and interventions are sensitive to the diverse backgrounds of service users in Birmingham. It addresses the historical mistrust between minority communities and state agencies, offering strategies to build trust and improve engagement, which is crucial for effective safeguarding and support in the city.</w:t>
      </w:r>
    </w:p>
    <w:p>
      <w:pPr>
        <w:pStyle w:val="BodyText"/>
      </w:pPr>
      <w:r>
        <w:t xml:space="preserve">Munro, E. (2011).</w:t>
      </w:r>
      <w:r>
        <w:t xml:space="preserve"> </w:t>
      </w:r>
      <w:r>
        <w:rPr>
          <w:iCs/>
          <w:i/>
        </w:rPr>
        <w:t xml:space="preserve">The Munro Review of Child Protection: Final Report: A child-centred system</w:t>
      </w:r>
      <w:r>
        <w:t xml:space="preserve">. London: Department for Children, Schools and Families.</w:t>
      </w:r>
    </w:p>
    <w:p>
      <w:pPr>
        <w:pStyle w:val="BodyText"/>
      </w:pPr>
      <w:r>
        <w:t xml:space="preserve">Professor Eileen Munro’s review fundamentally reshaped child protection practice across the UK, including in Birmingham. The report critiques the over-reliance on bureaucratic procedures and advocates for a system that prioritizes professional judgment and child-centered outcomes. For a Social Worker in Birmingham, this text is critical for understanding the shift towards more flexible, evidence-based practice. It encourages practitioners to focus on the actual needs of the child rather than merely ticking boxes, a perspective that is particularly relevant in a busy local authority where caseload pressures can lead to proceduralism.</w:t>
      </w:r>
    </w:p>
    <w:p>
      <w:pPr>
        <w:pStyle w:val="BodyText"/>
      </w:pPr>
      <w:r>
        <w:t xml:space="preserve">Social Work England. (2019).</w:t>
      </w:r>
      <w:r>
        <w:t xml:space="preserve"> </w:t>
      </w:r>
      <w:r>
        <w:rPr>
          <w:iCs/>
          <w:i/>
        </w:rPr>
        <w:t xml:space="preserve">Standards of Proficiency for Social Workers</w:t>
      </w:r>
      <w:r>
        <w:t xml:space="preserve">. Sheffield: Social Work England.</w:t>
      </w:r>
    </w:p>
    <w:p>
      <w:pPr>
        <w:pStyle w:val="BodyText"/>
      </w:pPr>
      <w:r>
        <w:t xml:space="preserve">As the regulatory body for social workers in England, Social Work England sets the mandatory standards that all practitioners must meet. This document outlines the knowledge, skills, and values required for safe and effective practice. For a Social Worker in Birmingham, adherence to these standards is non-negotiable for maintaining registration. The text emphasizes the importance of anti-discriminatory practice, effective communication, and the ability to work within legal frameworks. It serves as a benchmark for professional development and ensures that social workers in Birmingham are equipped to handle the complexities of modern social care.</w:t>
      </w:r>
    </w:p>
    <w:p>
      <w:pPr>
        <w:pStyle w:val="BodyText"/>
      </w:pPr>
      <w:r>
        <w:t xml:space="preserve">The King’s Fund. (2018).</w:t>
      </w:r>
      <w:r>
        <w:t xml:space="preserve"> </w:t>
      </w:r>
      <w:r>
        <w:rPr>
          <w:iCs/>
          <w:i/>
        </w:rPr>
        <w:t xml:space="preserve">Austerity and the social care system: The impact on local authorities and service users</w:t>
      </w:r>
      <w:r>
        <w:t xml:space="preserve">. London: The King’s Fund.</w:t>
      </w:r>
    </w:p>
    <w:p>
      <w:pPr>
        <w:pStyle w:val="BodyText"/>
      </w:pPr>
      <w:r>
        <w:t xml:space="preserve">This report provides a critical analysis of how government spending cuts have affected social care provision in the United Kingdom. For Birmingham, a city with significant deprivation, the findings are particularly relevant. The text details the reduction in funding for adult social care and children’s services, leading to increased pressure on Social Workers and reduced support for families. Understanding this macro-level context is essential for practitioners in Birmingham to advocate for their clients and to navigate the limited resources available. It highlights the tension between rising demand and shrinking budgets, a daily reality for social workers in the city.</w:t>
      </w:r>
    </w:p>
    <w:p>
      <w:pPr>
        <w:pStyle w:val="BodyText"/>
      </w:pPr>
      <w:r>
        <w:t xml:space="preserve">Laming, H. (2003).</w:t>
      </w:r>
      <w:r>
        <w:t xml:space="preserve"> </w:t>
      </w:r>
      <w:r>
        <w:rPr>
          <w:iCs/>
          <w:i/>
        </w:rPr>
        <w:t xml:space="preserve">The Victoria Climbié Inquiry: Report of an inquiry by Lord Laming</w:t>
      </w:r>
      <w:r>
        <w:t xml:space="preserve">. London: The Stationery Office.</w:t>
      </w:r>
    </w:p>
    <w:p>
      <w:pPr>
        <w:pStyle w:val="BodyText"/>
      </w:pPr>
      <w:r>
        <w:t xml:space="preserve">Although focused on a case in London, the Victoria Climbié Inquiry had profound implications for social work practice nationwide, including in Birmingham. The report exposed failures in multi-agency communication and professional arrogance. For a Social Worker in Birmingham, this text is a cautionary tale that underscores the importance of vigilance, effective information sharing, and placing the child’s voice at the center of practice. It led to significant legislative changes and remains a key reference for understanding the evolution of child protection protocols in the UK.</w:t>
      </w:r>
    </w:p>
    <w:p>
      <w:pPr>
        <w:pStyle w:val="BodyText"/>
      </w:pPr>
      <w:r>
        <w:t xml:space="preserve">University of Birmingham. (2022).</w:t>
      </w:r>
      <w:r>
        <w:t xml:space="preserve"> </w:t>
      </w:r>
      <w:r>
        <w:rPr>
          <w:iCs/>
          <w:i/>
        </w:rPr>
        <w:t xml:space="preserve">Centre for Urban and Community Research: Annual Report on Social Inequality in Birmingham</w:t>
      </w:r>
      <w:r>
        <w:t xml:space="preserve">. Birmingham: University of Birmingham.</w:t>
      </w:r>
    </w:p>
    <w:p>
      <w:pPr>
        <w:pStyle w:val="BodyText"/>
      </w:pPr>
      <w:r>
        <w:t xml:space="preserve">This academic report provides localized data on social inequality, housing, and health disparities within Birmingham. For a Social Worker, this evidence base is crucial for contextualizing individual cases within broader structural issues. The report highlights specific neighborhoods in Birmingham that face compounded disadvantages, informing targeted interventions and community-based support strategies. It supports the argument for a structural approach to social work, encouraging practitioners in Birmingham to address not only individual needs but also the systemic factors contributing to poverty and exclusion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Birmingham, United Kingdom</dc:title>
  <dc:creator/>
  <dc:language>en</dc:language>
  <cp:keywords/>
  <dcterms:created xsi:type="dcterms:W3CDTF">2026-08-07T10:40:04Z</dcterms:created>
  <dcterms:modified xsi:type="dcterms:W3CDTF">2026-08-07T10:40:04Z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