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Software Engineering Practices and Market Dynamics in Riyadh, Saudi Arabia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Software Engineer</w:t>
      </w:r>
      <w:r>
        <w:t xml:space="preserve"> </w:t>
      </w:r>
      <w:r>
        <w:t xml:space="preserve">has become pivotal in the economic transformation of</w:t>
      </w:r>
      <w:r>
        <w:t xml:space="preserve"> </w:t>
      </w:r>
      <w:r>
        <w:rPr>
          <w:bCs/>
          <w:b/>
        </w:rPr>
        <w:t xml:space="preserve">Saudi Arabia</w:t>
      </w:r>
      <w:r>
        <w:t xml:space="preserve">, particularly within the capital city of</w:t>
      </w:r>
      <w:r>
        <w:t xml:space="preserve"> </w:t>
      </w:r>
      <w:r>
        <w:rPr>
          <w:bCs/>
          <w:b/>
        </w:rPr>
        <w:t xml:space="preserve">Riyadh</w:t>
      </w:r>
      <w:r>
        <w:t xml:space="preserve">. As the hub for Vision 2030 initiatives, Riyadh is witnessing an unprecedented surge in digital infrastructure, fintech innovation, and smart city projects. This annotated bibliography compiles key resources that analyze the technical requirements, cultural nuances, and regulatory frameworks governing software development in this specific region. The selected sources provide a comprehensive overview for professionals and organizations aiming to establish or expand software engineering operations in Riyadh.</w:t>
      </w:r>
    </w:p>
    <w:bookmarkEnd w:id="21"/>
    <w:bookmarkStart w:id="22" w:name="strategic-frameworks-and-vision-2030"/>
    <w:p>
      <w:pPr>
        <w:pStyle w:val="Heading2"/>
      </w:pPr>
      <w:r>
        <w:t xml:space="preserve">Strategic Frameworks and Vision 2030</w:t>
      </w:r>
    </w:p>
    <w:p>
      <w:pPr>
        <w:pStyle w:val="FirstParagraph"/>
      </w:pPr>
      <w:r>
        <w:t xml:space="preserve">Saudi Vision 2030. (2016).</w:t>
      </w:r>
      <w:r>
        <w:t xml:space="preserve"> </w:t>
      </w:r>
      <w:r>
        <w:rPr>
          <w:iCs/>
          <w:i/>
        </w:rPr>
        <w:t xml:space="preserve">Kingdom of Saudi Arabia Vision 2030</w:t>
      </w:r>
      <w:r>
        <w:t xml:space="preserve">. Royal Court of Saudi Arabia.</w:t>
      </w:r>
    </w:p>
    <w:p>
      <w:pPr>
        <w:pStyle w:val="BodyText"/>
      </w:pPr>
      <w:r>
        <w:t xml:space="preserve">This foundational document outlines the strategic goals for the Kingdom, with a heavy emphasis on diversifying the economy away from oil through technology and digital transformation. For the</w:t>
      </w:r>
      <w:r>
        <w:t xml:space="preserve"> </w:t>
      </w:r>
      <w:r>
        <w:rPr>
          <w:bCs/>
          <w:b/>
        </w:rPr>
        <w:t xml:space="preserve">Software Engineer</w:t>
      </w:r>
      <w:r>
        <w:t xml:space="preserve"> </w:t>
      </w:r>
      <w:r>
        <w:t xml:space="preserve">in</w:t>
      </w:r>
      <w:r>
        <w:t xml:space="preserve"> </w:t>
      </w:r>
      <w:r>
        <w:rPr>
          <w:bCs/>
          <w:b/>
        </w:rPr>
        <w:t xml:space="preserve">Riyadh</w:t>
      </w:r>
      <w:r>
        <w:t xml:space="preserve">, this text is critical as it defines the macro-environment. It highlights the government's commitment to becoming a global technology hub, which directly correlates to increased funding for software startups, the establishment of the Digital Government Authority, and the push for e-government services. Understanding this document is essential for aligning technical roadmaps with national priorities.</w:t>
      </w:r>
    </w:p>
    <w:p>
      <w:pPr>
        <w:pStyle w:val="BodyText"/>
      </w:pPr>
      <w:r>
        <w:t xml:space="preserve">Al-Harbi, K. (2021).</w:t>
      </w:r>
      <w:r>
        <w:t xml:space="preserve"> </w:t>
      </w:r>
      <w:r>
        <w:rPr>
          <w:iCs/>
          <w:i/>
        </w:rPr>
        <w:t xml:space="preserve">Digital Transformation in the Gulf: The Role of Riyadh as a Tech Hub</w:t>
      </w:r>
      <w:r>
        <w:t xml:space="preserve">. Journal of Middle Eastern Economics.</w:t>
      </w:r>
    </w:p>
    <w:p>
      <w:pPr>
        <w:pStyle w:val="BodyText"/>
      </w:pPr>
      <w:r>
        <w:t xml:space="preserve">Al-Harbi provides a detailed analysis of how</w:t>
      </w:r>
      <w:r>
        <w:t xml:space="preserve"> </w:t>
      </w:r>
      <w:r>
        <w:rPr>
          <w:bCs/>
          <w:b/>
        </w:rPr>
        <w:t xml:space="preserve">Riyadh</w:t>
      </w:r>
      <w:r>
        <w:t xml:space="preserve"> </w:t>
      </w:r>
      <w:r>
        <w:t xml:space="preserve">is positioning itself against regional competitors like Dubai and Doha. The article discusses the specific incentives offered to software development firms, including tax breaks and streamlined visa processes for expatriate engineers. It is particularly relevant for</w:t>
      </w:r>
      <w:r>
        <w:t xml:space="preserve"> </w:t>
      </w:r>
      <w:r>
        <w:rPr>
          <w:bCs/>
          <w:b/>
        </w:rPr>
        <w:t xml:space="preserve">Software Engineers</w:t>
      </w:r>
      <w:r>
        <w:t xml:space="preserve"> </w:t>
      </w:r>
      <w:r>
        <w:t xml:space="preserve">considering relocation, as it details the growth of tech parks such as King Abdullah Financial District (KAFD) and the emerging startup ecosystem supported by the Saudi Venture Capital Company.</w:t>
      </w:r>
    </w:p>
    <w:bookmarkEnd w:id="22"/>
    <w:bookmarkStart w:id="23" w:name="technical-standards-and-data-sovereignty"/>
    <w:p>
      <w:pPr>
        <w:pStyle w:val="Heading2"/>
      </w:pPr>
      <w:r>
        <w:t xml:space="preserve">Technical Standards and Data Sovereignty</w:t>
      </w:r>
    </w:p>
    <w:p>
      <w:pPr>
        <w:pStyle w:val="FirstParagraph"/>
      </w:pPr>
      <w:r>
        <w:t xml:space="preserve">National Data Management Office (NDMO). (2022).</w:t>
      </w:r>
      <w:r>
        <w:t xml:space="preserve"> </w:t>
      </w:r>
      <w:r>
        <w:rPr>
          <w:iCs/>
          <w:i/>
        </w:rPr>
        <w:t xml:space="preserve">Saudi Data and AI Authority (SDAIA) Regulations</w:t>
      </w:r>
      <w:r>
        <w:t xml:space="preserve">. Government of Saudi Arabia.</w:t>
      </w:r>
    </w:p>
    <w:p>
      <w:pPr>
        <w:pStyle w:val="BodyText"/>
      </w:pPr>
      <w:r>
        <w:t xml:space="preserve">This regulatory framework is indispensable for any</w:t>
      </w:r>
      <w:r>
        <w:t xml:space="preserve"> </w:t>
      </w:r>
      <w:r>
        <w:rPr>
          <w:bCs/>
          <w:b/>
        </w:rPr>
        <w:t xml:space="preserve">Software Engineer</w:t>
      </w:r>
      <w:r>
        <w:t xml:space="preserve"> </w:t>
      </w:r>
      <w:r>
        <w:t xml:space="preserve">developing applications in</w:t>
      </w:r>
      <w:r>
        <w:t xml:space="preserve"> </w:t>
      </w:r>
      <w:r>
        <w:rPr>
          <w:bCs/>
          <w:b/>
        </w:rPr>
        <w:t xml:space="preserve">Saudi Arabia</w:t>
      </w:r>
      <w:r>
        <w:t xml:space="preserve">. It outlines strict guidelines regarding data residency, privacy, and cybersecurity. The document mandates that certain categories of data must be stored within the Kingdom's borders, necessitating specific architectural decisions for cloud infrastructure. It also details compliance requirements for artificial intelligence systems, ensuring that software solutions deployed in Riyadh adhere to ethical and legal standards set by the state.</w:t>
      </w:r>
    </w:p>
    <w:p>
      <w:pPr>
        <w:pStyle w:val="BodyText"/>
      </w:pPr>
      <w:r>
        <w:t xml:space="preserve">Al-Sultan, M., &amp; Al-Otaibi, F. (2023).</w:t>
      </w:r>
      <w:r>
        <w:t xml:space="preserve"> </w:t>
      </w:r>
      <w:r>
        <w:rPr>
          <w:iCs/>
          <w:i/>
        </w:rPr>
        <w:t xml:space="preserve">Cloud Computing Adoption in Saudi Public Sector: Challenges and Opportunities</w:t>
      </w:r>
      <w:r>
        <w:t xml:space="preserve">. International Journal of Cloud Applications and Computing.</w:t>
      </w:r>
    </w:p>
    <w:p>
      <w:pPr>
        <w:pStyle w:val="BodyText"/>
      </w:pPr>
      <w:r>
        <w:t xml:space="preserve">This peer-reviewed article examines the migration of legacy systems to cloud platforms within</w:t>
      </w:r>
      <w:r>
        <w:t xml:space="preserve"> </w:t>
      </w:r>
      <w:r>
        <w:rPr>
          <w:bCs/>
          <w:b/>
        </w:rPr>
        <w:t xml:space="preserve">Riyadh</w:t>
      </w:r>
      <w:r>
        <w:t xml:space="preserve">'s government entities. It highlights the technical challenges faced by</w:t>
      </w:r>
      <w:r>
        <w:t xml:space="preserve"> </w:t>
      </w:r>
      <w:r>
        <w:rPr>
          <w:bCs/>
          <w:b/>
        </w:rPr>
        <w:t xml:space="preserve">Software Engineers</w:t>
      </w:r>
      <w:r>
        <w:t xml:space="preserve">, including integration with existing mainframes and ensuring high availability in a growing market. The authors provide case studies of successful implementations, offering practical insights into the technologies and methodologies preferred by Saudi government contractors.</w:t>
      </w:r>
    </w:p>
    <w:bookmarkEnd w:id="23"/>
    <w:bookmarkStart w:id="24" w:name="X91058fc93aa21ba02d17efba99266242a27b749"/>
    <w:p>
      <w:pPr>
        <w:pStyle w:val="Heading2"/>
      </w:pPr>
      <w:r>
        <w:t xml:space="preserve">Workforce Development and Cultural Context</w:t>
      </w:r>
    </w:p>
    <w:p>
      <w:pPr>
        <w:pStyle w:val="FirstParagraph"/>
      </w:pPr>
      <w:r>
        <w:t xml:space="preserve">Ministry of Human Resources and Social Development. (2023).</w:t>
      </w:r>
      <w:r>
        <w:t xml:space="preserve"> </w:t>
      </w:r>
      <w:r>
        <w:rPr>
          <w:iCs/>
          <w:i/>
        </w:rPr>
        <w:t xml:space="preserve">Saudization (Nitaqat) Program Guidelines for the Private Sector</w:t>
      </w:r>
      <w:r>
        <w:t xml:space="preserve">. Kingdom of Saudi Arabia.</w:t>
      </w:r>
    </w:p>
    <w:p>
      <w:pPr>
        <w:pStyle w:val="BodyText"/>
      </w:pPr>
      <w:r>
        <w:t xml:space="preserve">The Nitaqat program is a critical policy for managing the workforce in</w:t>
      </w:r>
      <w:r>
        <w:t xml:space="preserve"> </w:t>
      </w:r>
      <w:r>
        <w:rPr>
          <w:bCs/>
          <w:b/>
        </w:rPr>
        <w:t xml:space="preserve">Saudi Arabia</w:t>
      </w:r>
      <w:r>
        <w:t xml:space="preserve">. This document explains the quotas requiring companies to hire a certain percentage of Saudi nationals. For</w:t>
      </w:r>
      <w:r>
        <w:t xml:space="preserve"> </w:t>
      </w:r>
      <w:r>
        <w:rPr>
          <w:bCs/>
          <w:b/>
        </w:rPr>
        <w:t xml:space="preserve">Software Engineers</w:t>
      </w:r>
      <w:r>
        <w:t xml:space="preserve"> </w:t>
      </w:r>
      <w:r>
        <w:t xml:space="preserve">and tech managers in</w:t>
      </w:r>
      <w:r>
        <w:t xml:space="preserve"> </w:t>
      </w:r>
      <w:r>
        <w:rPr>
          <w:bCs/>
          <w:b/>
        </w:rPr>
        <w:t xml:space="preserve">Riyadh</w:t>
      </w:r>
      <w:r>
        <w:t xml:space="preserve">, this impacts team composition and hiring strategies. It emphasizes the need for upskilling local talent and creating mentorship programs to bridge the gap between academic training and industry requirements in software development.</w:t>
      </w:r>
    </w:p>
    <w:p>
      <w:pPr>
        <w:pStyle w:val="BodyText"/>
      </w:pPr>
      <w:r>
        <w:t xml:space="preserve">Al-Dosari, H. (2022).</w:t>
      </w:r>
      <w:r>
        <w:t xml:space="preserve"> </w:t>
      </w:r>
      <w:r>
        <w:rPr>
          <w:iCs/>
          <w:i/>
        </w:rPr>
        <w:t xml:space="preserve">Cultural Dimensions in Agile Software Development in the Middle East</w:t>
      </w:r>
      <w:r>
        <w:t xml:space="preserve">. IEEE Transactions on Engineering Management.</w:t>
      </w:r>
    </w:p>
    <w:p>
      <w:pPr>
        <w:pStyle w:val="BodyText"/>
      </w:pPr>
      <w:r>
        <w:t xml:space="preserve">This study explores how cultural factors in</w:t>
      </w:r>
      <w:r>
        <w:t xml:space="preserve"> </w:t>
      </w:r>
      <w:r>
        <w:rPr>
          <w:bCs/>
          <w:b/>
        </w:rPr>
        <w:t xml:space="preserve">Saudi Arabia</w:t>
      </w:r>
      <w:r>
        <w:t xml:space="preserve"> </w:t>
      </w:r>
      <w:r>
        <w:t xml:space="preserve">influence agile methodologies. It suggests that while</w:t>
      </w:r>
      <w:r>
        <w:t xml:space="preserve"> </w:t>
      </w:r>
      <w:r>
        <w:rPr>
          <w:bCs/>
          <w:b/>
        </w:rPr>
        <w:t xml:space="preserve">Riyadh</w:t>
      </w:r>
      <w:r>
        <w:t xml:space="preserve"> </w:t>
      </w:r>
      <w:r>
        <w:t xml:space="preserve">is rapidly adopting global best practices, hierarchical structures and communication styles can affect sprint planning and stakeholder feedback loops. The article offers valuable recommendations for</w:t>
      </w:r>
      <w:r>
        <w:t xml:space="preserve"> </w:t>
      </w:r>
      <w:r>
        <w:rPr>
          <w:bCs/>
          <w:b/>
        </w:rPr>
        <w:t xml:space="preserve">Software Engineers</w:t>
      </w:r>
      <w:r>
        <w:t xml:space="preserve"> </w:t>
      </w:r>
      <w:r>
        <w:t xml:space="preserve">and project managers on how to adapt agile frameworks to be more effective in the local cultural context, ensuring smoother collaboration between local and international teams.</w:t>
      </w:r>
    </w:p>
    <w:bookmarkEnd w:id="24"/>
    <w:bookmarkStart w:id="25" w:name="emerging-technologies-and-smart-cities"/>
    <w:p>
      <w:pPr>
        <w:pStyle w:val="Heading2"/>
      </w:pPr>
      <w:r>
        <w:t xml:space="preserve">Emerging Technologies and Smart Cities</w:t>
      </w:r>
    </w:p>
    <w:p>
      <w:pPr>
        <w:pStyle w:val="FirstParagraph"/>
      </w:pPr>
      <w:r>
        <w:t xml:space="preserve">NEOM &amp; Riyadh Development Authority. (2023).</w:t>
      </w:r>
      <w:r>
        <w:t xml:space="preserve"> </w:t>
      </w:r>
      <w:r>
        <w:rPr>
          <w:iCs/>
          <w:i/>
        </w:rPr>
        <w:t xml:space="preserve">Smart City Infrastructure: Technical Specifications for Riyadh</w:t>
      </w:r>
      <w:r>
        <w:t xml:space="preserve">. Saudi Government Publications.</w:t>
      </w:r>
    </w:p>
    <w:p>
      <w:pPr>
        <w:pStyle w:val="BodyText"/>
      </w:pPr>
      <w:r>
        <w:t xml:space="preserve">As</w:t>
      </w:r>
      <w:r>
        <w:t xml:space="preserve"> </w:t>
      </w:r>
      <w:r>
        <w:rPr>
          <w:bCs/>
          <w:b/>
        </w:rPr>
        <w:t xml:space="preserve">Riyadh</w:t>
      </w:r>
      <w:r>
        <w:t xml:space="preserve"> </w:t>
      </w:r>
      <w:r>
        <w:t xml:space="preserve">evolves into a smart city, this technical document outlines the standards for IoT integration, traffic management systems, and urban data analytics. It is a key resource for</w:t>
      </w:r>
      <w:r>
        <w:t xml:space="preserve"> </w:t>
      </w:r>
      <w:r>
        <w:rPr>
          <w:bCs/>
          <w:b/>
        </w:rPr>
        <w:t xml:space="preserve">Software Engineers</w:t>
      </w:r>
      <w:r>
        <w:t xml:space="preserve"> </w:t>
      </w:r>
      <w:r>
        <w:t xml:space="preserve">specializing in embedded systems, backend development, and data science. The specifications detail the interoperability requirements for various urban services, providing a clear roadmap for developers contributing to the city's digital infrastructure.</w:t>
      </w:r>
    </w:p>
    <w:p>
      <w:pPr>
        <w:pStyle w:val="BodyText"/>
      </w:pPr>
      <w:r>
        <w:t xml:space="preserve">Al-Ghamdi, S. (2024).</w:t>
      </w:r>
      <w:r>
        <w:t xml:space="preserve"> </w:t>
      </w:r>
      <w:r>
        <w:rPr>
          <w:iCs/>
          <w:i/>
        </w:rPr>
        <w:t xml:space="preserve">Fintech Innovation in Riyadh: Regulatory Sandbox and Technical Requirements</w:t>
      </w:r>
      <w:r>
        <w:t xml:space="preserve">. Saudi Banking Journal.</w:t>
      </w:r>
    </w:p>
    <w:p>
      <w:pPr>
        <w:pStyle w:val="BodyText"/>
      </w:pPr>
      <w:r>
        <w:t xml:space="preserve">With the rise of fintech in</w:t>
      </w:r>
      <w:r>
        <w:t xml:space="preserve"> </w:t>
      </w:r>
      <w:r>
        <w:rPr>
          <w:bCs/>
          <w:b/>
        </w:rPr>
        <w:t xml:space="preserve">Riyadh</w:t>
      </w:r>
      <w:r>
        <w:t xml:space="preserve">, this article details the technical and regulatory requirements for financial software applications. It discusses the Saudi Central Bank's regulatory sandbox, which allows</w:t>
      </w:r>
      <w:r>
        <w:t xml:space="preserve"> </w:t>
      </w:r>
      <w:r>
        <w:rPr>
          <w:bCs/>
          <w:b/>
        </w:rPr>
        <w:t xml:space="preserve">Software Engineers</w:t>
      </w:r>
      <w:r>
        <w:t xml:space="preserve"> </w:t>
      </w:r>
      <w:r>
        <w:t xml:space="preserve">to test innovative solutions in a controlled environment. The document covers security protocols, API standards, and compliance measures necessary for developing banking and payment applications in the Kingdom, making it essential for engineers in the financial technology sector.</w:t>
      </w:r>
    </w:p>
    <w:p>
      <w:pPr>
        <w:pStyle w:val="BodyText"/>
      </w:pPr>
      <w:r>
        <w:t xml:space="preserve">© 2024 Annotated Bibliography on Software Engineering in Riyadh.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Riyadh, Saudi Arabia</dc:title>
  <dc:creator/>
  <dc:language>en</dc:language>
  <cp:keywords/>
  <dcterms:created xsi:type="dcterms:W3CDTF">2026-08-07T00:52:23Z</dcterms:created>
  <dcterms:modified xsi:type="dcterms:W3CDTF">2026-08-07T00:52:23Z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