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Brisbane,</w:t>
      </w:r>
      <w:r>
        <w:t xml:space="preserve"> </w:t>
      </w:r>
      <w:r>
        <w:t xml:space="preserve">Australia</w:t>
      </w:r>
    </w:p>
    <w:bookmarkStart w:id="24" w:name="Xcb271c44808f14b338f33d26d7787f04e2bd862"/>
    <w:p>
      <w:pPr>
        <w:pStyle w:val="Heading1"/>
      </w:pPr>
      <w:r>
        <w:t xml:space="preserve">Annotated Bibliography: Professional Practice for Secondary Teachers in Brisbane, Australia</w:t>
      </w:r>
    </w:p>
    <w:p>
      <w:pPr>
        <w:pStyle w:val="FirstParagraph"/>
      </w:pPr>
      <w:r>
        <w:t xml:space="preserve">The following annotated bibliography provides a curated selection of resources essential for secondary teachers operating within the Brisbane, Queensland context. These references address the specific regulatory frameworks of the Queensland College of Teachers (QCT), the nuances of the Australian Curriculum as implemented in Queensland, and the socio-cultural dynamics of teaching in Brisbane's diverse metropolitan and regional environments.</w:t>
      </w:r>
    </w:p>
    <w:bookmarkStart w:id="20" w:name="Xf8c719d2ef2d44dc8d18bff52a09f4554478458"/>
    <w:p>
      <w:pPr>
        <w:pStyle w:val="Heading2"/>
      </w:pPr>
      <w:r>
        <w:t xml:space="preserve">Regulatory Frameworks and Professional Standards</w:t>
      </w:r>
    </w:p>
    <w:p>
      <w:pPr>
        <w:pStyle w:val="FirstParagraph"/>
      </w:pPr>
      <w:r>
        <w:t xml:space="preserve">Queensland College of Teachers. (2023).</w:t>
      </w:r>
      <w:r>
        <w:t xml:space="preserve"> </w:t>
      </w:r>
      <w:r>
        <w:rPr>
          <w:iCs/>
          <w:i/>
        </w:rPr>
        <w:t xml:space="preserve">Code of Conduct for Teachers</w:t>
      </w:r>
      <w:r>
        <w:t xml:space="preserve">. Brisbane: QCT.</w:t>
      </w:r>
    </w:p>
    <w:p>
      <w:pPr>
        <w:pStyle w:val="BodyText"/>
      </w:pPr>
      <w:r>
        <w:t xml:space="preserve">This document is the primary regulatory text for all secondary teachers in Brisbane. It outlines the ethical and professional obligations required to maintain registration. For a teacher in Brisbane, this resource is critical for understanding boundaries regarding student relationships, social media usage, and professional integrity. The annotation highlights that adherence to this code is not merely administrative but is central to maintaining public trust in the education system across Queensland schools.</w:t>
      </w:r>
    </w:p>
    <w:p>
      <w:pPr>
        <w:pStyle w:val="BodyText"/>
      </w:pPr>
      <w:r>
        <w:t xml:space="preserve">Australian Institute for Teaching and School Leadership (AITSL). (2017).</w:t>
      </w:r>
      <w:r>
        <w:t xml:space="preserve"> </w:t>
      </w:r>
      <w:r>
        <w:rPr>
          <w:iCs/>
          <w:i/>
        </w:rPr>
        <w:t xml:space="preserve">Australian Professional Standards for Teachers</w:t>
      </w:r>
      <w:r>
        <w:t xml:space="preserve">. Melbourne: AITSL.</w:t>
      </w:r>
    </w:p>
    <w:p>
      <w:pPr>
        <w:pStyle w:val="BodyText"/>
      </w:pPr>
      <w:r>
        <w:t xml:space="preserve">While national in scope, these standards are the benchmark for teacher registration in Brisbane. This resource details the knowledge, practice, and professional engagement expected of secondary teachers at different career stages. It is particularly relevant for Brisbane educators navigating the transition from Graduate to Proficient teacher status, as the Queensland College of Teachers uses these standards to assess professional practice.</w:t>
      </w:r>
    </w:p>
    <w:bookmarkEnd w:id="20"/>
    <w:bookmarkStart w:id="21" w:name="curriculum-implementation-in-queensland"/>
    <w:p>
      <w:pPr>
        <w:pStyle w:val="Heading2"/>
      </w:pPr>
      <w:r>
        <w:t xml:space="preserve">Curriculum Implementation in Queensland</w:t>
      </w:r>
    </w:p>
    <w:p>
      <w:pPr>
        <w:pStyle w:val="FirstParagraph"/>
      </w:pPr>
      <w:r>
        <w:t xml:space="preserve">Queensland Curriculum and Assessment Authority (QCAA). (2023).</w:t>
      </w:r>
      <w:r>
        <w:t xml:space="preserve"> </w:t>
      </w:r>
      <w:r>
        <w:rPr>
          <w:iCs/>
          <w:i/>
        </w:rPr>
        <w:t xml:space="preserve">Senior Secondary Syllabuses and Assessment Guidelines</w:t>
      </w:r>
      <w:r>
        <w:t xml:space="preserve">. Brisbane: QCAA.</w:t>
      </w:r>
    </w:p>
    <w:p>
      <w:pPr>
        <w:pStyle w:val="BodyText"/>
      </w:pPr>
      <w:r>
        <w:t xml:space="preserve">This is the definitive resource for secondary teachers in Brisbane regarding Years 11 and 12. It provides the specific syllabuses and assessment requirements that differ slightly from other Australian states. For a Brisbane teacher, this document is indispensable for planning units that align with the Queensland Certificate of Education (QCE) requirements. It ensures that assessment tasks are valid and reliable within the local jurisdiction.</w:t>
      </w:r>
    </w:p>
    <w:p>
      <w:pPr>
        <w:pStyle w:val="BodyText"/>
      </w:pPr>
      <w:r>
        <w:t xml:space="preserve">Department of Education, Queensland. (2022).</w:t>
      </w:r>
      <w:r>
        <w:t xml:space="preserve"> </w:t>
      </w:r>
      <w:r>
        <w:rPr>
          <w:iCs/>
          <w:i/>
        </w:rPr>
        <w:t xml:space="preserve">Queensland Curriculum and Assessment Resources</w:t>
      </w:r>
      <w:r>
        <w:t xml:space="preserve">. Brisbane: State of Queensland.</w:t>
      </w:r>
    </w:p>
    <w:p>
      <w:pPr>
        <w:pStyle w:val="BodyText"/>
      </w:pPr>
      <w:r>
        <w:t xml:space="preserve">This resource supports the implementation of the Australian Curriculum in Queensland state schools. It offers practical guidance on how to adapt national learning areas to the local context of Brisbane. It is particularly useful for secondary teachers looking for scope and sequence documents that align with the state's specific educational goals and reporting requirements.</w:t>
      </w:r>
    </w:p>
    <w:bookmarkEnd w:id="21"/>
    <w:bookmarkStart w:id="22" w:name="X8c44ddb46ccbf0b919ce0270c9f9fa5c18db7b0"/>
    <w:p>
      <w:pPr>
        <w:pStyle w:val="Heading2"/>
      </w:pPr>
      <w:r>
        <w:t xml:space="preserve">Socio-Cultural Context and Inclusive Practice</w:t>
      </w:r>
    </w:p>
    <w:p>
      <w:pPr>
        <w:pStyle w:val="FirstParagraph"/>
      </w:pPr>
      <w:r>
        <w:t xml:space="preserve">Australian Institute of Health and Welfare. (2021).</w:t>
      </w:r>
      <w:r>
        <w:t xml:space="preserve"> </w:t>
      </w:r>
      <w:r>
        <w:rPr>
          <w:iCs/>
          <w:i/>
        </w:rPr>
        <w:t xml:space="preserve">Children and Young People in Out-of-Home Care: Australia 2020-21</w:t>
      </w:r>
      <w:r>
        <w:t xml:space="preserve">. Canberra: AIHW.</w:t>
      </w:r>
    </w:p>
    <w:p>
      <w:pPr>
        <w:pStyle w:val="BodyText"/>
      </w:pPr>
      <w:r>
        <w:t xml:space="preserve">Brisbane has a significant population of students in out-of-home care. This report provides statistical and qualitative data relevant to secondary teachers in Brisbane who support vulnerable students. It highlights the educational disruptions these students face and offers insights into how teachers can create supportive learning environments that address trauma and instability, which are prevalent issues in many Brisbane suburbs.</w:t>
      </w:r>
    </w:p>
    <w:p>
      <w:pPr>
        <w:pStyle w:val="BodyText"/>
      </w:pPr>
      <w:r>
        <w:t xml:space="preserve">Reconciliation Australia. (2020).</w:t>
      </w:r>
      <w:r>
        <w:t xml:space="preserve"> </w:t>
      </w:r>
      <w:r>
        <w:rPr>
          <w:iCs/>
          <w:i/>
        </w:rPr>
        <w:t xml:space="preserve">Every Australian Learns About Aboriginal and Torres Strait Islander Peoples</w:t>
      </w:r>
      <w:r>
        <w:t xml:space="preserve">. Sydney: Reconciliation Australia.</w:t>
      </w:r>
    </w:p>
    <w:p>
      <w:pPr>
        <w:pStyle w:val="BodyText"/>
      </w:pPr>
      <w:r>
        <w:t xml:space="preserve">This resource is vital for secondary teachers in Brisbane to ensure they are meeting their obligations under the Australian Curriculum regarding Aboriginal and Torres Strait Islander histories and cultures. It provides strategies for embedding Indigenous perspectives into secondary subjects authentically. Given Brisbane's proximity to traditional lands and the presence of significant Indigenous communities, this guide helps teachers foster respectful and inclusive classrooms.</w:t>
      </w:r>
    </w:p>
    <w:bookmarkEnd w:id="22"/>
    <w:bookmarkStart w:id="23" w:name="pedagogy-and-student-wellbeing"/>
    <w:p>
      <w:pPr>
        <w:pStyle w:val="Heading2"/>
      </w:pPr>
      <w:r>
        <w:t xml:space="preserve">Pedagogy and Student Wellbeing</w:t>
      </w:r>
    </w:p>
    <w:p>
      <w:pPr>
        <w:pStyle w:val="FirstParagraph"/>
      </w:pPr>
      <w:r>
        <w:t xml:space="preserve">Queensland Department of Education. (2021).</w:t>
      </w:r>
      <w:r>
        <w:t xml:space="preserve"> </w:t>
      </w:r>
      <w:r>
        <w:rPr>
          <w:iCs/>
          <w:i/>
        </w:rPr>
        <w:t xml:space="preserve">Student Wellbeing Framework</w:t>
      </w:r>
      <w:r>
        <w:t xml:space="preserve">. Brisbane: State of Queensland.</w:t>
      </w:r>
    </w:p>
    <w:p>
      <w:pPr>
        <w:pStyle w:val="BodyText"/>
      </w:pPr>
      <w:r>
        <w:t xml:space="preserve">This framework outlines the state's approach to student wellbeing, which is integrated into the daily practice of secondary teachers in Brisbane. It emphasizes the connection between wellbeing and learning outcomes. For teachers in Brisbane, this document provides strategies for identifying mental health issues, promoting resilience, and creating a positive school culture, which are critical in managing the diverse needs of adolescent students in the city.</w:t>
      </w:r>
    </w:p>
    <w:p>
      <w:pPr>
        <w:pStyle w:val="BodyText"/>
      </w:pPr>
      <w:r>
        <w:t xml:space="preserve">Hattie, J. (2009).</w:t>
      </w:r>
      <w:r>
        <w:t xml:space="preserve"> </w:t>
      </w:r>
      <w:r>
        <w:rPr>
          <w:iCs/>
          <w:i/>
        </w:rPr>
        <w:t xml:space="preserve">Visible Learning: A Synthesis of Over 800 Meta-Analyses Relating to Achievement</w:t>
      </w:r>
      <w:r>
        <w:t xml:space="preserve">. London: Routledge.</w:t>
      </w:r>
    </w:p>
    <w:p>
      <w:pPr>
        <w:pStyle w:val="BodyText"/>
      </w:pPr>
      <w:r>
        <w:t xml:space="preserve">While a global text, Hattie's work is widely referenced in Queensland teacher education and professional development. It provides evidence-based strategies for maximizing student achievement. For a secondary teacher in Brisbane, this resource offers practical insights into feedback, teacher clarity, and collaborative learning, which can be directly applied to improve student outcomes in the competitive academic environment of Brisbane's secondary schools.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Brisbane, Australia</dc:title>
  <dc:creator/>
  <dc:language>en</dc:language>
  <cp:keywords/>
  <dcterms:created xsi:type="dcterms:W3CDTF">2026-08-07T11:19:33Z</dcterms:created>
  <dcterms:modified xsi:type="dcterms:W3CDTF">2026-08-07T11:19:33Z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