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Teaching</w:t>
      </w:r>
      <w:r>
        <w:t xml:space="preserve"> </w:t>
      </w:r>
      <w:r>
        <w:t xml:space="preserve">in</w:t>
      </w:r>
      <w:r>
        <w:t xml:space="preserve"> </w:t>
      </w:r>
      <w:r>
        <w:t xml:space="preserve">Melbourne,</w:t>
      </w:r>
      <w:r>
        <w:t xml:space="preserve"> </w:t>
      </w:r>
      <w:r>
        <w:t xml:space="preserve">Australia</w:t>
      </w:r>
    </w:p>
    <w:bookmarkStart w:id="24" w:name="X5520e05e9670c9d1f751dec2965492718214039"/>
    <w:p>
      <w:pPr>
        <w:pStyle w:val="Heading1"/>
      </w:pPr>
      <w:r>
        <w:t xml:space="preserve">Annotated Bibliography: Secondary Teaching in Melbourne, Australia</w:t>
      </w:r>
    </w:p>
    <w:p>
      <w:pPr>
        <w:pStyle w:val="FirstParagraph"/>
      </w:pPr>
      <w:r>
        <w:t xml:space="preserve">This annotated bibliography provides a curated selection of resources relevant to secondary education within the specific context of Melbourne, Australia. The selected texts address curriculum frameworks, pedagogical strategies, cultural diversity, and professional standards essential for teachers operating in Victorian secondary schools. These resources are critical for understanding the unique educational landscape of Melbourne, which is characterized by a multicultural student population and a rigorous state-based curriculum.</w:t>
      </w:r>
    </w:p>
    <w:bookmarkStart w:id="20" w:name="curriculum-and-assessment-frameworks"/>
    <w:p>
      <w:pPr>
        <w:pStyle w:val="Heading2"/>
      </w:pPr>
      <w:r>
        <w:t xml:space="preserve">Curriculum and Assessment Frameworks</w:t>
      </w:r>
    </w:p>
    <w:p>
      <w:pPr>
        <w:pStyle w:val="FirstParagraph"/>
      </w:pPr>
      <w:r>
        <w:t xml:space="preserve">Victorian Curriculum and Assessment Authority (VCAA). (2023).</w:t>
      </w:r>
      <w:r>
        <w:t xml:space="preserve"> </w:t>
      </w:r>
      <w:r>
        <w:rPr>
          <w:iCs/>
          <w:i/>
        </w:rPr>
        <w:t xml:space="preserve">The Victorian Curriculum F-10</w:t>
      </w:r>
      <w:r>
        <w:t xml:space="preserve">. Melbourne: VCAA.</w:t>
      </w:r>
    </w:p>
    <w:p>
      <w:pPr>
        <w:pStyle w:val="BodyText"/>
      </w:pPr>
      <w:r>
        <w:t xml:space="preserve">This foundational document outlines the mandatory curriculum for all secondary students in Victoria, including Melbourne. It details the learning areas, general capabilities, and cross-curriculum priorities that define the educational experience in the state. For a secondary teacher in Melbourne, this resource is indispensable as it dictates the content and assessment standards for subjects ranging from English and Mathematics to the Arts and Technologies. The document emphasizes the importance of critical thinking and digital literacy, reflecting the modern demands of the Australian workforce. It serves as the primary reference for lesson planning and assessment design in Victorian government and Catholic schools.</w:t>
      </w:r>
    </w:p>
    <w:p>
      <w:pPr>
        <w:pStyle w:val="BodyText"/>
      </w:pPr>
      <w:r>
        <w:t xml:space="preserve">Victorian Curriculum and Assessment Authority (VCAA). (2023).</w:t>
      </w:r>
      <w:r>
        <w:t xml:space="preserve"> </w:t>
      </w:r>
      <w:r>
        <w:rPr>
          <w:iCs/>
          <w:i/>
        </w:rPr>
        <w:t xml:space="preserve">VCE Study Designs</w:t>
      </w:r>
      <w:r>
        <w:t xml:space="preserve">. Melbourne: VCAA.</w:t>
      </w:r>
    </w:p>
    <w:p>
      <w:pPr>
        <w:pStyle w:val="BodyText"/>
      </w:pPr>
      <w:r>
        <w:t xml:space="preserve">The Victorian Certificate of Education (VCE) is the senior secondary certificate in Victoria. This collection of study designs provides the specific requirements for each subject offered in Years 11 and 12. For teachers in Melbourne, navigating these designs is crucial for preparing students for their final examinations and school-assessed coursework. The documents highlight the rigorous academic standards expected in Melbourne’s secondary schools and provide detailed guidelines on assessment tasks. Understanding these designs is essential for ensuring that students are adequately prepared for tertiary education pathways within Australia and internationally.</w:t>
      </w:r>
    </w:p>
    <w:bookmarkEnd w:id="20"/>
    <w:bookmarkStart w:id="21" w:name="pedagogy-and-professional-standards"/>
    <w:p>
      <w:pPr>
        <w:pStyle w:val="Heading2"/>
      </w:pPr>
      <w:r>
        <w:t xml:space="preserve">Pedagogy and Professional Standards</w:t>
      </w:r>
    </w:p>
    <w:p>
      <w:pPr>
        <w:pStyle w:val="FirstParagraph"/>
      </w:pPr>
      <w:r>
        <w:t xml:space="preserve">Australian Institute for Teaching and School Leadership (AITSL). (2017).</w:t>
      </w:r>
      <w:r>
        <w:t xml:space="preserve"> </w:t>
      </w:r>
      <w:r>
        <w:rPr>
          <w:iCs/>
          <w:i/>
        </w:rPr>
        <w:t xml:space="preserve">Australian Professional Standards for Teachers</w:t>
      </w:r>
      <w:r>
        <w:t xml:space="preserve">. Melbourne: AITSL.</w:t>
      </w:r>
    </w:p>
    <w:p>
      <w:pPr>
        <w:pStyle w:val="BodyText"/>
      </w:pPr>
      <w:r>
        <w:t xml:space="preserve">This document establishes the national framework for teacher quality in Australia. It outlines the knowledge, practice, and professional engagement expected of teachers at different career stages, from Graduate to Lead Teacher. For secondary teachers in Melbourne, these standards are the benchmark for registration with the Victorian Institute of Teaching (VIT). The standards emphasize the importance of inclusive teaching practices, which is particularly relevant in Melbourne’s diverse classrooms. They also stress the need for ongoing professional development, encouraging teachers to stay current with educational research and pedagogical innovations.</w:t>
      </w:r>
    </w:p>
    <w:p>
      <w:pPr>
        <w:pStyle w:val="BodyText"/>
      </w:pPr>
      <w:r>
        <w:t xml:space="preserve">Hattie, J. (2009).</w:t>
      </w:r>
      <w:r>
        <w:t xml:space="preserve"> </w:t>
      </w:r>
      <w:r>
        <w:rPr>
          <w:iCs/>
          <w:i/>
        </w:rPr>
        <w:t xml:space="preserve">Visible Learning: A Synthesis of Over 800 Meta-Analyses Relating to Achievement</w:t>
      </w:r>
      <w:r>
        <w:t xml:space="preserve">. London: Routledge.</w:t>
      </w:r>
    </w:p>
    <w:p>
      <w:pPr>
        <w:pStyle w:val="BodyText"/>
      </w:pPr>
      <w:r>
        <w:t xml:space="preserve">John Hattie’s seminal work synthesizes extensive research on factors that influence student achievement. While not specific to Melbourne, its findings are widely applied in Victorian secondary schools to inform evidence-based teaching practices. Hattie identifies strategies such as feedback, formative assessment, and teacher clarity as having a significant impact on learning outcomes. For secondary teachers in Melbourne, this resource provides a robust theoretical foundation for designing effective lessons and interventions. It encourages teachers to critically evaluate their practices and adopt strategies that have been proven to enhance student learning in diverse educational contexts.</w:t>
      </w:r>
    </w:p>
    <w:bookmarkEnd w:id="21"/>
    <w:bookmarkStart w:id="22" w:name="cultural-diversity-and-inclusion"/>
    <w:p>
      <w:pPr>
        <w:pStyle w:val="Heading2"/>
      </w:pPr>
      <w:r>
        <w:t xml:space="preserve">Cultural Diversity and Inclusion</w:t>
      </w:r>
    </w:p>
    <w:p>
      <w:pPr>
        <w:pStyle w:val="FirstParagraph"/>
      </w:pPr>
      <w:r>
        <w:t xml:space="preserve">Department of Education and Training Victoria. (2021).</w:t>
      </w:r>
      <w:r>
        <w:t xml:space="preserve"> </w:t>
      </w:r>
      <w:r>
        <w:rPr>
          <w:iCs/>
          <w:i/>
        </w:rPr>
        <w:t xml:space="preserve">Aboriginal Education Strategy 2021-2031</w:t>
      </w:r>
      <w:r>
        <w:t xml:space="preserve">. Melbourne: DET.</w:t>
      </w:r>
    </w:p>
    <w:p>
      <w:pPr>
        <w:pStyle w:val="BodyText"/>
      </w:pPr>
      <w:r>
        <w:t xml:space="preserve">This strategy outlines the Victorian government’s commitment to improving educational outcomes for Aboriginal students. It addresses the historical and ongoing disparities faced by Indigenous Australians and provides a framework for culturally responsive teaching. For secondary teachers in Melbourne, this document is essential for understanding the specific needs and strengths of Aboriginal students. It emphasizes the importance of incorporating Aboriginal perspectives into the curriculum and fostering respectful relationships with local communities. Implementing this strategy is crucial for creating inclusive learning environments that honor the cultural heritage of Australia’s First Peoples.</w:t>
      </w:r>
    </w:p>
    <w:p>
      <w:pPr>
        <w:pStyle w:val="BodyText"/>
      </w:pPr>
      <w:r>
        <w:t xml:space="preserve">Calder, A., &amp; Dockett, S. (2019).</w:t>
      </w:r>
      <w:r>
        <w:t xml:space="preserve"> </w:t>
      </w:r>
      <w:r>
        <w:rPr>
          <w:iCs/>
          <w:i/>
        </w:rPr>
        <w:t xml:space="preserve">Early Childhood and Primary Education in Australia: Contexts and Practices</w:t>
      </w:r>
      <w:r>
        <w:t xml:space="preserve">. Melbourne: Cambridge University Press.</w:t>
      </w:r>
    </w:p>
    <w:p>
      <w:pPr>
        <w:pStyle w:val="BodyText"/>
      </w:pPr>
      <w:r>
        <w:t xml:space="preserve">Although focused on early childhood and primary education, this text provides valuable insights into the broader Australian educational context, including issues of diversity and inclusion that are relevant to secondary teaching. Melbourne is one of the most multicultural cities in the world, and teachers must be equipped to support students from a wide range of cultural and linguistic backgrounds. This resource discusses strategies for culturally responsive teaching and the importance of understanding the socio-cultural contexts of students’ lives. It offers practical guidance for secondary teachers in Melbourne who seek to create inclusive classrooms that celebrate diversity and promote equity.</w:t>
      </w:r>
    </w:p>
    <w:bookmarkEnd w:id="22"/>
    <w:bookmarkStart w:id="23" w:name="technology-and-innovation"/>
    <w:p>
      <w:pPr>
        <w:pStyle w:val="Heading2"/>
      </w:pPr>
      <w:r>
        <w:t xml:space="preserve">Technology and Innovation</w:t>
      </w:r>
    </w:p>
    <w:p>
      <w:pPr>
        <w:pStyle w:val="FirstParagraph"/>
      </w:pPr>
      <w:r>
        <w:t xml:space="preserve">Office of the eSafety Commissioner. (2022).</w:t>
      </w:r>
      <w:r>
        <w:t xml:space="preserve"> </w:t>
      </w:r>
      <w:r>
        <w:rPr>
          <w:iCs/>
          <w:i/>
        </w:rPr>
        <w:t xml:space="preserve">Online Safety for Schools</w:t>
      </w:r>
      <w:r>
        <w:t xml:space="preserve">. Canberra: eSafety Commissioner.</w:t>
      </w:r>
    </w:p>
    <w:p>
      <w:pPr>
        <w:pStyle w:val="BodyText"/>
      </w:pPr>
      <w:r>
        <w:t xml:space="preserve">This resource provides guidance on ensuring online safety for students in Australian schools. With the increasing integration of technology in education, secondary teachers in Melbourne must be vigilant about protecting students from online risks such as cyberbullying and inappropriate content. The document offers practical strategies for teaching digital citizenship and promoting responsible online behavior. It is particularly relevant in Melbourne, where schools are at the forefront of adopting digital learning tools. By implementing the recommendations in this resource, teachers can create a safe and supportive online learning environment for their students.</w:t>
      </w:r>
    </w:p>
    <w:p>
      <w:pPr>
        <w:pStyle w:val="BodyText"/>
      </w:pPr>
      <w:r>
        <w:t xml:space="preserve">Mansfield, C., &amp; O’Connor, K. (2020).</w:t>
      </w:r>
      <w:r>
        <w:t xml:space="preserve"> </w:t>
      </w:r>
      <w:r>
        <w:rPr>
          <w:iCs/>
          <w:i/>
        </w:rPr>
        <w:t xml:space="preserve">Digital Technologies in Australian Schools: Policy, Practice and Pedagogy</w:t>
      </w:r>
      <w:r>
        <w:t xml:space="preserve">. Melbourne: ACER Press.</w:t>
      </w:r>
    </w:p>
    <w:p>
      <w:pPr>
        <w:pStyle w:val="BodyText"/>
      </w:pPr>
      <w:r>
        <w:t xml:space="preserve">This book explores the integration of digital technologies in Australian schools, with a focus on policy, practice, and pedagogy. It provides a comprehensive overview of the challenges and opportunities associated with using technology in education. For secondary teachers in Melbourne, this resource offers valuable insights into effective strategies for incorporating digital tools into the curriculum. It emphasizes the importance of developing students’ digital literacy skills, which are essential for success in the modern world. The book also discusses the role of teachers in facilitating meaningful learning experiences through technology, making it a relevant resource for educators in Melbourne’s dynamic educational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Teaching in Melbourne, Australia</dc:title>
  <dc:creator/>
  <dc:language>en</dc:language>
  <cp:keywords/>
  <dcterms:created xsi:type="dcterms:W3CDTF">2026-08-07T02:14:54Z</dcterms:created>
  <dcterms:modified xsi:type="dcterms:W3CDTF">2026-08-07T02:14:54Z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