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Sydney,</w:t>
      </w:r>
      <w:r>
        <w:t xml:space="preserve"> </w:t>
      </w:r>
      <w:r>
        <w:t xml:space="preserve">Australia</w:t>
      </w:r>
    </w:p>
    <w:bookmarkStart w:id="24" w:name="X812a638d5361eaaab246c1adff810ddb5ca73ff"/>
    <w:p>
      <w:pPr>
        <w:pStyle w:val="Heading1"/>
      </w:pPr>
      <w:r>
        <w:t xml:space="preserve">Annotated Bibliography: Secondary Teaching in Sydney, Australia</w:t>
      </w:r>
    </w:p>
    <w:p>
      <w:pPr>
        <w:pStyle w:val="FirstParagraph"/>
      </w:pPr>
      <w:r>
        <w:t xml:space="preserve">This annotated bibliography compiles essential resources regarding the profession of a</w:t>
      </w:r>
      <w:r>
        <w:t xml:space="preserve"> </w:t>
      </w:r>
      <w:r>
        <w:rPr>
          <w:bCs/>
          <w:b/>
        </w:rPr>
        <w:t xml:space="preserve">Teacher Secondary</w:t>
      </w:r>
      <w:r>
        <w:t xml:space="preserve"> </w:t>
      </w:r>
      <w:r>
        <w:t xml:space="preserve">within the specific educational landscape of</w:t>
      </w:r>
      <w:r>
        <w:t xml:space="preserve"> </w:t>
      </w:r>
      <w:r>
        <w:rPr>
          <w:bCs/>
          <w:b/>
        </w:rPr>
        <w:t xml:space="preserve">Australia Sydney</w:t>
      </w:r>
      <w:r>
        <w:t xml:space="preserve">. The selected texts address curriculum standards, pedagogical strategies, cultural diversity, and professional requirements relevant to educators working in New South Wales (NSW) high schools.</w:t>
      </w:r>
    </w:p>
    <w:bookmarkStart w:id="20" w:name="curriculum-and-standards"/>
    <w:p>
      <w:pPr>
        <w:pStyle w:val="Heading2"/>
      </w:pPr>
      <w:r>
        <w:t xml:space="preserve">Curriculum and Standards</w:t>
      </w:r>
    </w:p>
    <w:p>
      <w:pPr>
        <w:pStyle w:val="FirstParagraph"/>
      </w:pPr>
      <w:r>
        <w:t xml:space="preserve">Australian Curriculum, Assessment and Reporting Authority (ACARA). (2023).</w:t>
      </w:r>
      <w:r>
        <w:t xml:space="preserve"> </w:t>
      </w:r>
      <w:r>
        <w:rPr>
          <w:iCs/>
          <w:i/>
        </w:rPr>
        <w:t xml:space="preserve">The Australian Curriculum</w:t>
      </w:r>
      <w:r>
        <w:t xml:space="preserve">. Retrieved from https://www.australiancurriculum.edu.au</w:t>
      </w:r>
    </w:p>
    <w:p>
      <w:pPr>
        <w:pStyle w:val="BodyText"/>
      </w:pPr>
      <w:r>
        <w:t xml:space="preserve">This foundational document outlines the national curriculum framework that all</w:t>
      </w:r>
      <w:r>
        <w:t xml:space="preserve"> </w:t>
      </w:r>
      <w:r>
        <w:rPr>
          <w:bCs/>
          <w:b/>
        </w:rPr>
        <w:t xml:space="preserve">Teacher Secondary</w:t>
      </w:r>
      <w:r>
        <w:t xml:space="preserve"> </w:t>
      </w:r>
      <w:r>
        <w:t xml:space="preserve">professionals in</w:t>
      </w:r>
      <w:r>
        <w:t xml:space="preserve"> </w:t>
      </w:r>
      <w:r>
        <w:rPr>
          <w:bCs/>
          <w:b/>
        </w:rPr>
        <w:t xml:space="preserve">Australia Sydney</w:t>
      </w:r>
      <w:r>
        <w:t xml:space="preserve"> </w:t>
      </w:r>
      <w:r>
        <w:t xml:space="preserve">must follow. It details learning areas, general capabilities, and cross-curriculum priorities. For educators in Sydney, understanding this resource is critical as it dictates the content and assessment standards for students from Year 7 to Year 10. It serves as the primary reference for lesson planning and ensures consistency across the state of New South Wales.</w:t>
      </w:r>
    </w:p>
    <w:p>
      <w:pPr>
        <w:pStyle w:val="BodyText"/>
      </w:pPr>
      <w:r>
        <w:t xml:space="preserve">New South Wales Education Standards Authority (NESA). (2023).</w:t>
      </w:r>
      <w:r>
        <w:t xml:space="preserve"> </w:t>
      </w:r>
      <w:r>
        <w:rPr>
          <w:iCs/>
          <w:i/>
        </w:rPr>
        <w:t xml:space="preserve">HSC Syllabuses and Stage 5 Syllabuses</w:t>
      </w:r>
      <w:r>
        <w:t xml:space="preserve">. Retrieved from https://www.nesa.nsw.edu.au</w:t>
      </w:r>
    </w:p>
    <w:p>
      <w:pPr>
        <w:pStyle w:val="BodyText"/>
      </w:pPr>
      <w:r>
        <w:t xml:space="preserve">NESA is the regulatory body responsible for schooling in NSW. This resource is indispensable for any</w:t>
      </w:r>
      <w:r>
        <w:t xml:space="preserve"> </w:t>
      </w:r>
      <w:r>
        <w:rPr>
          <w:bCs/>
          <w:b/>
        </w:rPr>
        <w:t xml:space="preserve">Teacher Secondary</w:t>
      </w:r>
      <w:r>
        <w:t xml:space="preserve"> </w:t>
      </w:r>
      <w:r>
        <w:t xml:space="preserve">operating in</w:t>
      </w:r>
      <w:r>
        <w:t xml:space="preserve"> </w:t>
      </w:r>
      <w:r>
        <w:rPr>
          <w:bCs/>
          <w:b/>
        </w:rPr>
        <w:t xml:space="preserve">Australia Sydney</w:t>
      </w:r>
      <w:r>
        <w:t xml:space="preserve">, particularly those teaching senior students (Years 11 and 12). It provides the specific syllabuses for the Higher School Certificate (HSC), which is the culminating qualification for secondary students in the state. The document outlines outcomes, content requirements, and assessment guidelines that teachers must adhere to when preparing Sydney students for their final examinations.</w:t>
      </w:r>
    </w:p>
    <w:bookmarkEnd w:id="20"/>
    <w:bookmarkStart w:id="21" w:name="pedagogy-and-professional-practice"/>
    <w:p>
      <w:pPr>
        <w:pStyle w:val="Heading2"/>
      </w:pPr>
      <w:r>
        <w:t xml:space="preserve">Pedagogy and Professional Practice</w:t>
      </w:r>
    </w:p>
    <w:p>
      <w:pPr>
        <w:pStyle w:val="FirstParagraph"/>
      </w:pPr>
      <w:r>
        <w:t xml:space="preserve">Australian Institute for Teaching and School Leadership (AITSL). (2017).</w:t>
      </w:r>
      <w:r>
        <w:t xml:space="preserve"> </w:t>
      </w:r>
      <w:r>
        <w:rPr>
          <w:iCs/>
          <w:i/>
        </w:rPr>
        <w:t xml:space="preserve">Australian Professional Standards for Teachers</w:t>
      </w:r>
      <w:r>
        <w:t xml:space="preserve">. Retrieved from https://www.aitsl.edu.au</w:t>
      </w:r>
    </w:p>
    <w:p>
      <w:pPr>
        <w:pStyle w:val="BodyText"/>
      </w:pPr>
      <w:r>
        <w:t xml:space="preserve">This document establishes the benchmark for professional practice for all teachers in Australia. For a</w:t>
      </w:r>
      <w:r>
        <w:t xml:space="preserve"> </w:t>
      </w:r>
      <w:r>
        <w:rPr>
          <w:bCs/>
          <w:b/>
        </w:rPr>
        <w:t xml:space="preserve">Teacher Secondary</w:t>
      </w:r>
      <w:r>
        <w:t xml:space="preserve"> </w:t>
      </w:r>
      <w:r>
        <w:t xml:space="preserve">in</w:t>
      </w:r>
      <w:r>
        <w:t xml:space="preserve"> </w:t>
      </w:r>
      <w:r>
        <w:rPr>
          <w:bCs/>
          <w:b/>
        </w:rPr>
        <w:t xml:space="preserve">Australia Sydney</w:t>
      </w:r>
      <w:r>
        <w:t xml:space="preserve">, these standards are not merely guidelines but are integral to registration with the NSW Teachers Registration Board. The standards cover professional knowledge, practice, and engagement. Educators use this framework for career progression, performance appraisals, and professional development planning within Sydney’s diverse school sectors.</w:t>
      </w:r>
    </w:p>
    <w:p>
      <w:pPr>
        <w:pStyle w:val="BodyText"/>
      </w:pPr>
      <w:r>
        <w:t xml:space="preserve">Hattie, J. (2009).</w:t>
      </w:r>
      <w:r>
        <w:t xml:space="preserve"> </w:t>
      </w:r>
      <w:r>
        <w:rPr>
          <w:iCs/>
          <w:i/>
        </w:rPr>
        <w:t xml:space="preserve">Visible Learning: A Synthesis of Over 800 Meta-Analyses Relating to Achievement</w:t>
      </w:r>
      <w:r>
        <w:t xml:space="preserve">. Routledge.</w:t>
      </w:r>
    </w:p>
    <w:p>
      <w:pPr>
        <w:pStyle w:val="BodyText"/>
      </w:pPr>
      <w:r>
        <w:t xml:space="preserve">John Hattie’s seminal work is widely cited in Australian educational circles. For a</w:t>
      </w:r>
      <w:r>
        <w:t xml:space="preserve"> </w:t>
      </w:r>
      <w:r>
        <w:rPr>
          <w:bCs/>
          <w:b/>
        </w:rPr>
        <w:t xml:space="preserve">Teacher Secondary</w:t>
      </w:r>
      <w:r>
        <w:t xml:space="preserve"> </w:t>
      </w:r>
      <w:r>
        <w:t xml:space="preserve">in</w:t>
      </w:r>
      <w:r>
        <w:t xml:space="preserve"> </w:t>
      </w:r>
      <w:r>
        <w:rPr>
          <w:bCs/>
          <w:b/>
        </w:rPr>
        <w:t xml:space="preserve">Australia Sydney</w:t>
      </w:r>
      <w:r>
        <w:t xml:space="preserve">, this text offers evidence-based strategies to maximize student achievement. It helps educators identify which teaching practices have the highest impact on learning outcomes. Given the competitive academic environment in many Sydney schools, applying Hattie’s findings allows teachers to refine their instructional methods to better support student growth and success.</w:t>
      </w:r>
    </w:p>
    <w:bookmarkEnd w:id="21"/>
    <w:bookmarkStart w:id="22" w:name="cultural-diversity-and-inclusion"/>
    <w:p>
      <w:pPr>
        <w:pStyle w:val="Heading2"/>
      </w:pPr>
      <w:r>
        <w:t xml:space="preserve">Cultural Diversity and Inclusion</w:t>
      </w:r>
    </w:p>
    <w:p>
      <w:pPr>
        <w:pStyle w:val="FirstParagraph"/>
      </w:pPr>
      <w:r>
        <w:t xml:space="preserve">Department of Education NSW. (2022).</w:t>
      </w:r>
      <w:r>
        <w:t xml:space="preserve"> </w:t>
      </w:r>
      <w:r>
        <w:rPr>
          <w:iCs/>
          <w:i/>
        </w:rPr>
        <w:t xml:space="preserve">Aboriginal Education Policy</w:t>
      </w:r>
      <w:r>
        <w:t xml:space="preserve">. Retrieved from https://education.nsw.gov.au</w:t>
      </w:r>
    </w:p>
    <w:p>
      <w:pPr>
        <w:pStyle w:val="BodyText"/>
      </w:pPr>
      <w:r>
        <w:t xml:space="preserve">Sydney is home to a significant Aboriginal and Torres Strait Islander population. This policy is crucial for every</w:t>
      </w:r>
      <w:r>
        <w:t xml:space="preserve"> </w:t>
      </w:r>
      <w:r>
        <w:rPr>
          <w:bCs/>
          <w:b/>
        </w:rPr>
        <w:t xml:space="preserve">Teacher Secondary</w:t>
      </w:r>
      <w:r>
        <w:t xml:space="preserve"> </w:t>
      </w:r>
      <w:r>
        <w:t xml:space="preserve">in</w:t>
      </w:r>
      <w:r>
        <w:t xml:space="preserve"> </w:t>
      </w:r>
      <w:r>
        <w:rPr>
          <w:bCs/>
          <w:b/>
        </w:rPr>
        <w:t xml:space="preserve">Australia Sydney</w:t>
      </w:r>
      <w:r>
        <w:t xml:space="preserve"> </w:t>
      </w:r>
      <w:r>
        <w:t xml:space="preserve">to understand. It outlines the state government’s commitment to improving educational outcomes for Aboriginal students. The document provides guidance on culturally responsive teaching, embedding Aboriginal perspectives into the curriculum, and fostering inclusive classroom environments that respect Indigenous histories and cultures.</w:t>
      </w:r>
    </w:p>
    <w:p>
      <w:pPr>
        <w:pStyle w:val="BodyText"/>
      </w:pPr>
      <w:r>
        <w:t xml:space="preserve">Calder, M., &amp; Hattie, J. (2019).</w:t>
      </w:r>
      <w:r>
        <w:t xml:space="preserve"> </w:t>
      </w:r>
      <w:r>
        <w:rPr>
          <w:iCs/>
          <w:i/>
        </w:rPr>
        <w:t xml:space="preserve">Teaching in a Multicultural Society: Strategies for Success in Australian Schools</w:t>
      </w:r>
      <w:r>
        <w:t xml:space="preserve">. Pearson Australia.</w:t>
      </w:r>
    </w:p>
    <w:p>
      <w:pPr>
        <w:pStyle w:val="BodyText"/>
      </w:pPr>
      <w:r>
        <w:t xml:space="preserve">Sydney is one of the most multicultural cities in the world. This text is highly relevant for a</w:t>
      </w:r>
      <w:r>
        <w:t xml:space="preserve"> </w:t>
      </w:r>
      <w:r>
        <w:rPr>
          <w:bCs/>
          <w:b/>
        </w:rPr>
        <w:t xml:space="preserve">Teacher Secondary</w:t>
      </w:r>
      <w:r>
        <w:t xml:space="preserve"> </w:t>
      </w:r>
      <w:r>
        <w:t xml:space="preserve">navigating the diverse classrooms of</w:t>
      </w:r>
      <w:r>
        <w:t xml:space="preserve"> </w:t>
      </w:r>
      <w:r>
        <w:rPr>
          <w:bCs/>
          <w:b/>
        </w:rPr>
        <w:t xml:space="preserve">Australia Sydney</w:t>
      </w:r>
      <w:r>
        <w:t xml:space="preserve">. It provides practical strategies for managing classrooms with students from varied linguistic and cultural backgrounds. The book addresses challenges such as language barriers, cultural misunderstandings, and the need for differentiated instruction, making it an essential resource for effective teaching in Sydney’s secondary schools.</w:t>
      </w:r>
    </w:p>
    <w:bookmarkEnd w:id="22"/>
    <w:bookmarkStart w:id="23" w:name="student-wellbeing-and-safety"/>
    <w:p>
      <w:pPr>
        <w:pStyle w:val="Heading2"/>
      </w:pPr>
      <w:r>
        <w:t xml:space="preserve">Student Wellbeing and Safety</w:t>
      </w:r>
    </w:p>
    <w:p>
      <w:pPr>
        <w:pStyle w:val="FirstParagraph"/>
      </w:pPr>
      <w:r>
        <w:t xml:space="preserve">NSW Department of Education. (2021).</w:t>
      </w:r>
      <w:r>
        <w:t xml:space="preserve"> </w:t>
      </w:r>
      <w:r>
        <w:rPr>
          <w:iCs/>
          <w:i/>
        </w:rPr>
        <w:t xml:space="preserve">Code of Conduct for Teachers</w:t>
      </w:r>
      <w:r>
        <w:t xml:space="preserve">. Retrieved from https://education.nsw.gov.au</w:t>
      </w:r>
    </w:p>
    <w:p>
      <w:pPr>
        <w:pStyle w:val="BodyText"/>
      </w:pPr>
      <w:r>
        <w:t xml:space="preserve">This document sets out the ethical and professional expectations for all teachers in NSW public schools. For a</w:t>
      </w:r>
      <w:r>
        <w:t xml:space="preserve"> </w:t>
      </w:r>
      <w:r>
        <w:rPr>
          <w:bCs/>
          <w:b/>
        </w:rPr>
        <w:t xml:space="preserve">Teacher Secondary</w:t>
      </w:r>
      <w:r>
        <w:t xml:space="preserve"> </w:t>
      </w:r>
      <w:r>
        <w:t xml:space="preserve">in</w:t>
      </w:r>
      <w:r>
        <w:t xml:space="preserve"> </w:t>
      </w:r>
      <w:r>
        <w:rPr>
          <w:bCs/>
          <w:b/>
        </w:rPr>
        <w:t xml:space="preserve">Australia Sydney</w:t>
      </w:r>
      <w:r>
        <w:t xml:space="preserve">, adherence to this code is mandatory. It covers areas such as student safety, professional boundaries, use of technology, and reporting obligations. Understanding this code is vital for maintaining a safe and supportive learning environment for adolescents, who are at a critical stage of development.</w:t>
      </w:r>
    </w:p>
    <w:p>
      <w:pPr>
        <w:pStyle w:val="BodyText"/>
      </w:pPr>
      <w:r>
        <w:t xml:space="preserve">Australian Psychological Society. (2020).</w:t>
      </w:r>
      <w:r>
        <w:t xml:space="preserve"> </w:t>
      </w:r>
      <w:r>
        <w:rPr>
          <w:iCs/>
          <w:i/>
        </w:rPr>
        <w:t xml:space="preserve">Psychology in Schools: Supporting Student Wellbeing</w:t>
      </w:r>
      <w:r>
        <w:t xml:space="preserve">. Retrieved from https://www.psychology.org.au</w:t>
      </w:r>
    </w:p>
    <w:p>
      <w:pPr>
        <w:pStyle w:val="BodyText"/>
      </w:pPr>
      <w:r>
        <w:t xml:space="preserve">Secondary students in</w:t>
      </w:r>
      <w:r>
        <w:t xml:space="preserve"> </w:t>
      </w:r>
      <w:r>
        <w:rPr>
          <w:bCs/>
          <w:b/>
        </w:rPr>
        <w:t xml:space="preserve">Australia Sydney</w:t>
      </w:r>
      <w:r>
        <w:t xml:space="preserve"> </w:t>
      </w:r>
      <w:r>
        <w:t xml:space="preserve">face unique pressures, including academic stress and social challenges. This resource provides insights into adolescent psychology and mental health. It is valuable for a</w:t>
      </w:r>
      <w:r>
        <w:t xml:space="preserve"> </w:t>
      </w:r>
      <w:r>
        <w:rPr>
          <w:bCs/>
          <w:b/>
        </w:rPr>
        <w:t xml:space="preserve">Teacher Secondary</w:t>
      </w:r>
      <w:r>
        <w:t xml:space="preserve"> </w:t>
      </w:r>
      <w:r>
        <w:t xml:space="preserve">seeking to support student wellbeing beyond academic instruction. The document offers strategies for identifying signs of distress, promoting resilience, and collaborating with school counselors to ensure the holistic development of students in Sydney’s high schools.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Sydney, Australia</dc:title>
  <dc:creator/>
  <dc:language>en</dc:language>
  <cp:keywords/>
  <dcterms:created xsi:type="dcterms:W3CDTF">2026-08-07T11:19:41Z</dcterms:created>
  <dcterms:modified xsi:type="dcterms:W3CDTF">2026-08-07T11:19:41Z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