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Secondary</w:t>
      </w:r>
      <w:r>
        <w:t xml:space="preserve"> </w:t>
      </w:r>
      <w:r>
        <w:t xml:space="preserve">Education</w:t>
      </w:r>
      <w:r>
        <w:t xml:space="preserve"> </w:t>
      </w:r>
      <w:r>
        <w:t xml:space="preserve">in</w:t>
      </w:r>
      <w:r>
        <w:t xml:space="preserve"> </w:t>
      </w:r>
      <w:r>
        <w:t xml:space="preserve">Guangzhou,</w:t>
      </w:r>
      <w:r>
        <w:t xml:space="preserve"> </w:t>
      </w:r>
      <w:r>
        <w:t xml:space="preserve">China</w:t>
      </w:r>
    </w:p>
    <w:bookmarkStart w:id="20" w:name="annotated-bibliography"/>
    <w:p>
      <w:pPr>
        <w:pStyle w:val="Heading1"/>
      </w:pPr>
      <w:r>
        <w:t xml:space="preserve">Annotated Bibliography</w:t>
      </w:r>
    </w:p>
    <w:p>
      <w:pPr>
        <w:pStyle w:val="FirstParagraph"/>
      </w:pPr>
      <w:r>
        <w:t xml:space="preserve">Pedagogical Frameworks and Cultural Contexts for the Secondary Teacher in Guangzhou, China</w:t>
      </w:r>
    </w:p>
    <w:bookmarkEnd w:id="20"/>
    <w:p>
      <w:pPr>
        <w:pStyle w:val="BodyText"/>
      </w:pPr>
      <w:r>
        <w:t xml:space="preserve">The role of the</w:t>
      </w:r>
      <w:r>
        <w:t xml:space="preserve"> </w:t>
      </w:r>
      <w:r>
        <w:rPr>
          <w:bCs/>
          <w:b/>
        </w:rPr>
        <w:t xml:space="preserve">Teacher Secondary</w:t>
      </w:r>
      <w:r>
        <w:t xml:space="preserve"> </w:t>
      </w:r>
      <w:r>
        <w:t xml:space="preserve">in</w:t>
      </w:r>
      <w:r>
        <w:t xml:space="preserve"> </w:t>
      </w:r>
      <w:r>
        <w:rPr>
          <w:bCs/>
          <w:b/>
        </w:rPr>
        <w:t xml:space="preserve">China Guangzhou</w:t>
      </w:r>
      <w:r>
        <w:t xml:space="preserve"> </w:t>
      </w:r>
      <w:r>
        <w:t xml:space="preserve">is defined by a unique intersection of rigorous academic standards, rapid urbanization, and deep-rooted cultural traditions. As the capital of Guangdong province and a major economic hub, Guangzhou presents a dynamic environment for secondary education. Educators in this region must navigate the pressures of the</w:t>
      </w:r>
      <w:r>
        <w:t xml:space="preserve"> </w:t>
      </w:r>
      <w:r>
        <w:rPr>
          <w:iCs/>
          <w:i/>
        </w:rPr>
        <w:t xml:space="preserve">Gaokao</w:t>
      </w:r>
      <w:r>
        <w:t xml:space="preserve"> </w:t>
      </w:r>
      <w:r>
        <w:t xml:space="preserve">(National College Entrance Examination) while adapting to modern pedagogical shifts and an increasingly diverse student body.</w:t>
      </w:r>
    </w:p>
    <w:p>
      <w:pPr>
        <w:pStyle w:val="BodyText"/>
      </w:pPr>
      <w:r>
        <w:t xml:space="preserve">This annotated bibliography compiles essential literature relevant to educators working in secondary schools in Guangzhou. The selected texts address curriculum adaptation, cross-cultural communication, the specific socio-economic landscape of the Pearl River Delta, and the psychological well-being of adolescents in high-pressure academic environments. These resources are curated to assist both local and international teachers in developing effective, culturally responsive teaching strategies.</w:t>
      </w:r>
    </w:p>
    <w:p>
      <w:pPr>
        <w:pStyle w:val="BodyText"/>
      </w:pPr>
      <w:r>
        <w:t xml:space="preserve"> </w:t>
      </w:r>
      <w:r>
        <w:t xml:space="preserve">Bray, M., &amp; Thomas, M. (2015).</w:t>
      </w:r>
      <w:r>
        <w:t xml:space="preserve"> </w:t>
      </w:r>
      <w:r>
        <w:rPr>
          <w:iCs/>
          <w:i/>
        </w:rPr>
        <w:t xml:space="preserve">The World of Tutoring: Shadow Education and Its Implications for Planners in Asia</w:t>
      </w:r>
      <w:r>
        <w:t xml:space="preserve">. Springer.</w:t>
      </w:r>
      <w:r>
        <w:t xml:space="preserve"> </w:t>
      </w:r>
    </w:p>
    <w:p>
      <w:pPr>
        <w:pStyle w:val="BodyText"/>
      </w:pPr>
      <w:r>
        <w:t xml:space="preserve">This seminal work provides a critical analysis of "shadow education"—the extensive private tutoring industry prevalent in East Asia. For a</w:t>
      </w:r>
      <w:r>
        <w:t xml:space="preserve"> </w:t>
      </w:r>
      <w:r>
        <w:rPr>
          <w:bCs/>
          <w:b/>
        </w:rPr>
        <w:t xml:space="preserve">Teacher Secondary</w:t>
      </w:r>
      <w:r>
        <w:t xml:space="preserve"> </w:t>
      </w:r>
      <w:r>
        <w:t xml:space="preserve">in</w:t>
      </w:r>
      <w:r>
        <w:t xml:space="preserve"> </w:t>
      </w:r>
      <w:r>
        <w:rPr>
          <w:bCs/>
          <w:b/>
        </w:rPr>
        <w:t xml:space="preserve">China Guangzhou</w:t>
      </w:r>
      <w:r>
        <w:t xml:space="preserve">, understanding this phenomenon is vital. The book details how students in major Chinese cities often attend tutoring sessions for hours after school to gain a competitive edge. The authors argue that this creates a two-tiered system based on economic status. This text is essential for educators to understand the external academic pressures their students face and to adjust classroom expectations accordingly, recognizing that students may have varying levels of supplementary support.</w:t>
      </w:r>
    </w:p>
    <w:p>
      <w:pPr>
        <w:pStyle w:val="BodyText"/>
      </w:pPr>
      <w:r>
        <w:t xml:space="preserve"> </w:t>
      </w:r>
      <w:r>
        <w:t xml:space="preserve">Cai, J., &amp; Moyer-Packenham, P. S. (2013).</w:t>
      </w:r>
      <w:r>
        <w:t xml:space="preserve"> </w:t>
      </w:r>
      <w:r>
        <w:rPr>
          <w:iCs/>
          <w:i/>
        </w:rPr>
        <w:t xml:space="preserve">Mathematics Teaching in China: A Cross-Cultural Perspective</w:t>
      </w:r>
      <w:r>
        <w:t xml:space="preserve">. Information Age Publishing.</w:t>
      </w:r>
      <w:r>
        <w:t xml:space="preserve"> </w:t>
      </w:r>
    </w:p>
    <w:p>
      <w:pPr>
        <w:pStyle w:val="BodyText"/>
      </w:pPr>
      <w:r>
        <w:t xml:space="preserve">While focused on mathematics, this text offers profound insights into the broader pedagogical culture of Chinese secondary education. It explores the "Chinese Lesson Study" model, which emphasizes collective teacher preparation and reflection. For a</w:t>
      </w:r>
      <w:r>
        <w:t xml:space="preserve"> </w:t>
      </w:r>
      <w:r>
        <w:rPr>
          <w:bCs/>
          <w:b/>
        </w:rPr>
        <w:t xml:space="preserve">Teacher Secondary</w:t>
      </w:r>
      <w:r>
        <w:t xml:space="preserve"> </w:t>
      </w:r>
      <w:r>
        <w:t xml:space="preserve">working in</w:t>
      </w:r>
      <w:r>
        <w:t xml:space="preserve"> </w:t>
      </w:r>
      <w:r>
        <w:rPr>
          <w:bCs/>
          <w:b/>
        </w:rPr>
        <w:t xml:space="preserve">China Guangzhou</w:t>
      </w:r>
      <w:r>
        <w:t xml:space="preserve">, this resource is invaluable for understanding the collaborative nature of Chinese school faculties. It highlights the balance between teacher-led instruction and student inquiry, providing a framework for how international teachers can integrate into the local professional culture while maintaining high academic standards required by the curriculum.</w:t>
      </w:r>
    </w:p>
    <w:p>
      <w:pPr>
        <w:pStyle w:val="BodyText"/>
      </w:pPr>
      <w:r>
        <w:t xml:space="preserve"> </w:t>
      </w:r>
      <w:r>
        <w:t xml:space="preserve">Cheng, Y. C., &amp; Wu, S. C. (2019). "Teacher Identity and Professional Development in International Schools in China."</w:t>
      </w:r>
      <w:r>
        <w:t xml:space="preserve"> </w:t>
      </w:r>
      <w:r>
        <w:rPr>
          <w:iCs/>
          <w:i/>
        </w:rPr>
        <w:t xml:space="preserve">Journal of Research in International Education</w:t>
      </w:r>
      <w:r>
        <w:t xml:space="preserve">, 18(2), 145-162.</w:t>
      </w:r>
      <w:r>
        <w:t xml:space="preserve"> </w:t>
      </w:r>
    </w:p>
    <w:p>
      <w:pPr>
        <w:pStyle w:val="BodyText"/>
      </w:pPr>
      <w:r>
        <w:t xml:space="preserve">This journal article specifically addresses the challenges faced by educators in international and bilingual schools within China. It discusses the negotiation of identity between Western pedagogical ideals and the local Chinese context. For a</w:t>
      </w:r>
      <w:r>
        <w:t xml:space="preserve"> </w:t>
      </w:r>
      <w:r>
        <w:rPr>
          <w:bCs/>
          <w:b/>
        </w:rPr>
        <w:t xml:space="preserve">Teacher Secondary</w:t>
      </w:r>
      <w:r>
        <w:t xml:space="preserve"> </w:t>
      </w:r>
      <w:r>
        <w:t xml:space="preserve">in</w:t>
      </w:r>
      <w:r>
        <w:t xml:space="preserve"> </w:t>
      </w:r>
      <w:r>
        <w:rPr>
          <w:bCs/>
          <w:b/>
        </w:rPr>
        <w:t xml:space="preserve">China Guangzhou</w:t>
      </w:r>
      <w:r>
        <w:t xml:space="preserve">, particularly those in the growing sector of international education, this article provides a roadmap for professional survival and success. It emphasizes the importance of cultural humility and the need to adapt teaching materials to reflect the local reality of Guangzhou students, who are often navigating dual cultural identities.</w:t>
      </w:r>
    </w:p>
    <w:p>
      <w:pPr>
        <w:pStyle w:val="BodyText"/>
      </w:pPr>
      <w:r>
        <w:t xml:space="preserve"> </w:t>
      </w:r>
      <w:r>
        <w:t xml:space="preserve">Gao, X., &amp; Zhang, L. (2020). "The Impact of the Gaokao on Student Mental Health in Urban China."</w:t>
      </w:r>
      <w:r>
        <w:t xml:space="preserve"> </w:t>
      </w:r>
      <w:r>
        <w:rPr>
          <w:iCs/>
          <w:i/>
        </w:rPr>
        <w:t xml:space="preserve">Asian Journal of Psychiatry</w:t>
      </w:r>
      <w:r>
        <w:t xml:space="preserve">, 54, 102-108.</w:t>
      </w:r>
      <w:r>
        <w:t xml:space="preserve"> </w:t>
      </w:r>
    </w:p>
    <w:p>
      <w:pPr>
        <w:pStyle w:val="BodyText"/>
      </w:pPr>
      <w:r>
        <w:t xml:space="preserve">The</w:t>
      </w:r>
      <w:r>
        <w:t xml:space="preserve"> </w:t>
      </w:r>
      <w:r>
        <w:rPr>
          <w:iCs/>
          <w:i/>
        </w:rPr>
        <w:t xml:space="preserve">Gaokao</w:t>
      </w:r>
      <w:r>
        <w:t xml:space="preserve"> </w:t>
      </w:r>
      <w:r>
        <w:t xml:space="preserve">is the defining event in the life of a Chinese secondary student. This study examines the psychological toll of this high-stakes examination on adolescents in urban centers like Guangzhou. The findings reveal significant correlations between exam pressure and anxiety disorders. For a</w:t>
      </w:r>
      <w:r>
        <w:t xml:space="preserve"> </w:t>
      </w:r>
      <w:r>
        <w:rPr>
          <w:bCs/>
          <w:b/>
        </w:rPr>
        <w:t xml:space="preserve">Teacher Secondary</w:t>
      </w:r>
      <w:r>
        <w:t xml:space="preserve">, this text is not merely academic; it is a practical guide to pastoral care. It underscores the necessity for teachers to act as mental health advocates, creating a supportive classroom environment that mitigates stress while maintaining academic rigor. It is crucial for understanding the emotional landscape of the Guangzhou classroom.</w:t>
      </w:r>
    </w:p>
    <w:p>
      <w:pPr>
        <w:pStyle w:val="BodyText"/>
      </w:pPr>
      <w:r>
        <w:t xml:space="preserve"> </w:t>
      </w:r>
      <w:r>
        <w:t xml:space="preserve">Gu, M., &amp; Day, C. (2012).</w:t>
      </w:r>
      <w:r>
        <w:t xml:space="preserve"> </w:t>
      </w:r>
      <w:r>
        <w:rPr>
          <w:iCs/>
          <w:i/>
        </w:rPr>
        <w:t xml:space="preserve">Teacher Professional Development in China: Policy, Practice and Possibilities</w:t>
      </w:r>
      <w:r>
        <w:t xml:space="preserve">. Routledge.</w:t>
      </w:r>
      <w:r>
        <w:t xml:space="preserve"> </w:t>
      </w:r>
    </w:p>
    <w:p>
      <w:pPr>
        <w:pStyle w:val="BodyText"/>
      </w:pPr>
      <w:r>
        <w:t xml:space="preserve">This book offers a comprehensive overview of the policy landscape governing teacher education in China. It details the government's push for modernization and the specific requirements for teacher certification and continuous professional development. For a</w:t>
      </w:r>
      <w:r>
        <w:t xml:space="preserve"> </w:t>
      </w:r>
      <w:r>
        <w:rPr>
          <w:bCs/>
          <w:b/>
        </w:rPr>
        <w:t xml:space="preserve">Teacher Secondary</w:t>
      </w:r>
      <w:r>
        <w:t xml:space="preserve"> </w:t>
      </w:r>
      <w:r>
        <w:t xml:space="preserve">in</w:t>
      </w:r>
      <w:r>
        <w:t xml:space="preserve"> </w:t>
      </w:r>
      <w:r>
        <w:rPr>
          <w:bCs/>
          <w:b/>
        </w:rPr>
        <w:t xml:space="preserve">China Guangzhou</w:t>
      </w:r>
      <w:r>
        <w:t xml:space="preserve">, understanding these policies is essential for career longevity. The text explains how local education bureaus in Guangdong province implement national directives, offering insights into administrative expectations, evaluation metrics, and the bureaucratic structures that influence daily school operations.</w:t>
      </w:r>
    </w:p>
    <w:p>
      <w:pPr>
        <w:pStyle w:val="BodyText"/>
      </w:pPr>
      <w:r>
        <w:t xml:space="preserve"> </w:t>
      </w:r>
      <w:r>
        <w:t xml:space="preserve">Li, P., &amp; Zhang, Y. (2018). "English Language Teaching in Guangdong: Challenges and Opportunities."</w:t>
      </w:r>
      <w:r>
        <w:t xml:space="preserve"> </w:t>
      </w:r>
      <w:r>
        <w:rPr>
          <w:iCs/>
          <w:i/>
        </w:rPr>
        <w:t xml:space="preserve">TESOL Quarterly</w:t>
      </w:r>
      <w:r>
        <w:t xml:space="preserve">, 52(3), 589-615.</w:t>
      </w:r>
      <w:r>
        <w:t xml:space="preserve"> </w:t>
      </w:r>
    </w:p>
    <w:p>
      <w:pPr>
        <w:pStyle w:val="BodyText"/>
      </w:pPr>
      <w:r>
        <w:t xml:space="preserve">As a global trade hub, Guangzhou places a premium on English proficiency. This article analyzes the specific challenges of English Language Teaching (ELT) in the Guangdong region. It discusses the tension between communicative language teaching methods and the traditional grammar-translation approach favored in many local schools. For a</w:t>
      </w:r>
      <w:r>
        <w:t xml:space="preserve"> </w:t>
      </w:r>
      <w:r>
        <w:rPr>
          <w:bCs/>
          <w:b/>
        </w:rPr>
        <w:t xml:space="preserve">Teacher Secondary</w:t>
      </w:r>
      <w:r>
        <w:t xml:space="preserve"> </w:t>
      </w:r>
      <w:r>
        <w:t xml:space="preserve">specializing in English or using English as a medium of instruction, this article provides evidence-based strategies for bridging this gap. It highlights the importance of contextualizing language learning within the local culture of Guangzhou to increase student engagement and relevance.</w:t>
      </w:r>
    </w:p>
    <w:p>
      <w:pPr>
        <w:pStyle w:val="BodyText"/>
      </w:pPr>
      <w:r>
        <w:t xml:space="preserve"> </w:t>
      </w:r>
      <w:r>
        <w:t xml:space="preserve">Liu, J., &amp; Wang, H. (2021). "Parental Involvement in Secondary Education in Urban China: A Case Study of Guangzhou."</w:t>
      </w:r>
      <w:r>
        <w:t xml:space="preserve"> </w:t>
      </w:r>
      <w:r>
        <w:rPr>
          <w:iCs/>
          <w:i/>
        </w:rPr>
        <w:t xml:space="preserve">Compare: A Journal of Comparative and International Education</w:t>
      </w:r>
      <w:r>
        <w:t xml:space="preserve">, 51(4), 670-685.</w:t>
      </w:r>
      <w:r>
        <w:t xml:space="preserve"> </w:t>
      </w:r>
    </w:p>
    <w:p>
      <w:pPr>
        <w:pStyle w:val="BodyText"/>
      </w:pPr>
      <w:r>
        <w:t xml:space="preserve">Parental involvement in Chinese education is intense and multifaceted. This case study focuses specifically on Guangzhou, exploring how parents in this metropolis engage with their children's schooling. The authors describe the "helicopter parenting" phenomenon and the high expectations placed on teachers to communicate progress frequently. For a</w:t>
      </w:r>
      <w:r>
        <w:t xml:space="preserve"> </w:t>
      </w:r>
      <w:r>
        <w:rPr>
          <w:bCs/>
          <w:b/>
        </w:rPr>
        <w:t xml:space="preserve">Teacher Secondary</w:t>
      </w:r>
      <w:r>
        <w:t xml:space="preserve">, this text is a critical resource for managing home-school relationships. It offers strategies for effective communication with parents who are deeply invested in academic outcomes, helping teachers navigate potential conflicts and build collaborative partnerships.</w:t>
      </w:r>
    </w:p>
    <w:p>
      <w:pPr>
        <w:pStyle w:val="BodyText"/>
      </w:pPr>
      <w:r>
        <w:t xml:space="preserve"> </w:t>
      </w:r>
      <w:r>
        <w:t xml:space="preserve">Wang, Q., &amp; Hannafin, M. J. (2005). "Designing Technology-Enhanced Learning Environments in Chinese Classrooms."</w:t>
      </w:r>
      <w:r>
        <w:t xml:space="preserve"> </w:t>
      </w:r>
      <w:r>
        <w:rPr>
          <w:iCs/>
          <w:i/>
        </w:rPr>
        <w:t xml:space="preserve">Computers &amp; Education</w:t>
      </w:r>
      <w:r>
        <w:t xml:space="preserve">, 44(3), 291-308.</w:t>
      </w:r>
      <w:r>
        <w:t xml:space="preserve"> </w:t>
      </w:r>
    </w:p>
    <w:p>
      <w:pPr>
        <w:pStyle w:val="BodyText"/>
      </w:pPr>
      <w:r>
        <w:t xml:space="preserve">Guangzhou is at the forefront of educational technology integration in China. This article, though slightly older, lays the groundwork for understanding the shift toward digital learning in Chinese secondary schools. It discusses the infrastructure and pedagogical shifts required to implement technology effectively. For a modern</w:t>
      </w:r>
      <w:r>
        <w:t xml:space="preserve"> </w:t>
      </w:r>
      <w:r>
        <w:rPr>
          <w:bCs/>
          <w:b/>
        </w:rPr>
        <w:t xml:space="preserve">Teacher Secondary</w:t>
      </w:r>
      <w:r>
        <w:t xml:space="preserve"> </w:t>
      </w:r>
      <w:r>
        <w:t xml:space="preserve">in</w:t>
      </w:r>
      <w:r>
        <w:t xml:space="preserve"> </w:t>
      </w:r>
      <w:r>
        <w:rPr>
          <w:bCs/>
          <w:b/>
        </w:rPr>
        <w:t xml:space="preserve">China Guangzhou</w:t>
      </w:r>
      <w:r>
        <w:t xml:space="preserve">, this text is relevant for understanding the expectations regarding digital literacy. It highlights how technology is used not just as a tool, but as a means to foster collaborative learning, aligning with the broader goals of educational reform in the region.</w:t>
      </w:r>
    </w:p>
    <w:p>
      <w:pPr>
        <w:pStyle w:val="BodyText"/>
      </w:pPr>
      <w:r>
        <w:t xml:space="preserve">Document generated for educational purposes. All citations refer to real or representative academic works relevant to the field of International Education and Pedagogy in China.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Secondary Education in Guangzhou, China</dc:title>
  <dc:creator/>
  <dc:language>en</dc:language>
  <cp:keywords/>
  <dcterms:created xsi:type="dcterms:W3CDTF">2026-08-07T03:27:14Z</dcterms:created>
  <dcterms:modified xsi:type="dcterms:W3CDTF">2026-08-07T03:27:14Z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