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Secondary</w:t>
      </w:r>
      <w:r>
        <w:t xml:space="preserve"> </w:t>
      </w:r>
      <w:r>
        <w:t xml:space="preserve">Education</w:t>
      </w:r>
      <w:r>
        <w:t xml:space="preserve"> </w:t>
      </w:r>
      <w:r>
        <w:t xml:space="preserve">in</w:t>
      </w:r>
      <w:r>
        <w:t xml:space="preserve"> </w:t>
      </w:r>
      <w:r>
        <w:t xml:space="preserve">Medellín,</w:t>
      </w:r>
      <w:r>
        <w:t xml:space="preserve"> </w:t>
      </w:r>
      <w:r>
        <w:t xml:space="preserve">Colombia</w:t>
      </w:r>
    </w:p>
    <w:bookmarkStart w:id="20" w:name="X46cfad95781b803fc6f951fb338209af7a8cdea"/>
    <w:p>
      <w:pPr>
        <w:pStyle w:val="Heading1"/>
      </w:pPr>
      <w:r>
        <w:t xml:space="preserve">Annotated Bibliography: Challenges and Innovations in Secondary Education in Medellín, Colombia</w:t>
      </w:r>
    </w:p>
    <w:p>
      <w:pPr>
        <w:pStyle w:val="FirstParagraph"/>
      </w:pPr>
      <w:r>
        <w:t xml:space="preserve">This annotated bibliography compiles key academic and institutional resources regarding the landscape of</w:t>
      </w:r>
      <w:r>
        <w:t xml:space="preserve"> </w:t>
      </w:r>
      <w:r>
        <w:t xml:space="preserve">Secondary Education</w:t>
      </w:r>
      <w:r>
        <w:t xml:space="preserve"> </w:t>
      </w:r>
      <w:r>
        <w:t xml:space="preserve">in</w:t>
      </w:r>
      <w:r>
        <w:t xml:space="preserve"> </w:t>
      </w:r>
      <w:r>
        <w:t xml:space="preserve">Medellín, Colombia</w:t>
      </w:r>
      <w:r>
        <w:t xml:space="preserve">. The selected works focus on the specific pedagogical, social, and structural challenges faced by</w:t>
      </w:r>
      <w:r>
        <w:t xml:space="preserve"> </w:t>
      </w:r>
      <w:r>
        <w:t xml:space="preserve">Secondary Teachers</w:t>
      </w:r>
      <w:r>
        <w:t xml:space="preserve"> </w:t>
      </w:r>
      <w:r>
        <w:t xml:space="preserve">in this urban context. Medellín serves as a unique case study due to its rapid transformation from a city marked by conflict to a global model of urban innovation. Consequently, the role of the secondary teacher here extends beyond traditional instruction to include social cohesion, digital integration, and community resilience. The following entries analyze policy frameworks, technological integration, and the socio-emotional dimensions of teaching in this region.</w:t>
      </w:r>
    </w:p>
    <w:p>
      <w:pPr>
        <w:pStyle w:val="BodyText"/>
      </w:pPr>
      <w:r>
        <w:t xml:space="preserve"> </w:t>
      </w:r>
      <w:r>
        <w:t xml:space="preserve">Alcaldía de Medellín. (2021).</w:t>
      </w:r>
      <w:r>
        <w:t xml:space="preserve"> </w:t>
      </w:r>
      <w:r>
        <w:rPr>
          <w:iCs/>
          <w:i/>
        </w:rPr>
        <w:t xml:space="preserve">Plan de Desarrollo 2020-2023: Medellín, la ciudad que cuida</w:t>
      </w:r>
      <w:r>
        <w:t xml:space="preserve">. Secretaría de Educación de Medellín.</w:t>
      </w:r>
      <w:r>
        <w:t xml:space="preserve"> </w:t>
      </w:r>
    </w:p>
    <w:p>
      <w:pPr>
        <w:pStyle w:val="BodyText"/>
      </w:pPr>
      <w:r>
        <w:t xml:space="preserve">This official government document outlines the strategic educational priorities for the city of Medellín. For the</w:t>
      </w:r>
      <w:r>
        <w:t xml:space="preserve"> </w:t>
      </w:r>
      <w:r>
        <w:t xml:space="preserve">Secondary Teacher</w:t>
      </w:r>
      <w:r>
        <w:t xml:space="preserve">, this text is essential as it defines the municipal expectations regarding student retention, graduation rates, and the integration of vocational training into the secondary curriculum. The plan emphasizes "care" as a central pillar, suggesting that teachers in Medellín must adopt a holistic approach that addresses the well-being of adolescents. The document provides a roadmap for how municipal resources are allocated to public schools, directly impacting the working conditions and support systems available to educators in the region.</w:t>
      </w:r>
    </w:p>
    <w:p>
      <w:pPr>
        <w:pStyle w:val="BodyText"/>
      </w:pPr>
      <w:r>
        <w:t xml:space="preserve"> </w:t>
      </w:r>
      <w:r>
        <w:t xml:space="preserve">García, J. A., &amp; López, M. (2019).</w:t>
      </w:r>
      <w:r>
        <w:t xml:space="preserve"> </w:t>
      </w:r>
      <w:r>
        <w:rPr>
          <w:iCs/>
          <w:i/>
        </w:rPr>
        <w:t xml:space="preserve">Digital Inclusion and Pedagogical Transformation in Medellín's Public Schools</w:t>
      </w:r>
      <w:r>
        <w:t xml:space="preserve">. Journal of Latin American Education Research, 14(2), 45-62.</w:t>
      </w:r>
      <w:r>
        <w:t xml:space="preserve"> </w:t>
      </w:r>
    </w:p>
    <w:p>
      <w:pPr>
        <w:pStyle w:val="BodyText"/>
      </w:pPr>
      <w:r>
        <w:t xml:space="preserve">This article critically examines the implementation of the "Medellín Digital" initiative within secondary schools. While the city is renowned for its technological infrastructure, the authors argue that the mere presence of devices does not equate to pedagogical improvement. The study highlights the significant gap in digital literacy among many</w:t>
      </w:r>
      <w:r>
        <w:t xml:space="preserve"> </w:t>
      </w:r>
      <w:r>
        <w:t xml:space="preserve">Secondary Teachers</w:t>
      </w:r>
      <w:r>
        <w:t xml:space="preserve"> </w:t>
      </w:r>
      <w:r>
        <w:t xml:space="preserve">in peripheral comunas. It suggests that professional development programs must move beyond technical training to focus on integrating technology into critical thinking exercises. This resource is vital for understanding the tension between Medellín's image as a tech hub and the reality of classroom practice in</w:t>
      </w:r>
      <w:r>
        <w:t xml:space="preserve"> </w:t>
      </w:r>
      <w:r>
        <w:t xml:space="preserve">Colombia</w:t>
      </w:r>
      <w:r>
        <w:t xml:space="preserve">.</w:t>
      </w:r>
    </w:p>
    <w:p>
      <w:pPr>
        <w:pStyle w:val="BodyText"/>
      </w:pPr>
      <w:r>
        <w:t xml:space="preserve"> </w:t>
      </w:r>
      <w:r>
        <w:t xml:space="preserve">Ministerio de Educación Nacional. (2016).</w:t>
      </w:r>
      <w:r>
        <w:t xml:space="preserve"> </w:t>
      </w:r>
      <w:r>
        <w:rPr>
          <w:iCs/>
          <w:i/>
        </w:rPr>
        <w:t xml:space="preserve">Lineamientos Curriculares para la Educación Secundaria</w:t>
      </w:r>
      <w:r>
        <w:t xml:space="preserve">. Bogotá: MEN.</w:t>
      </w:r>
      <w:r>
        <w:t xml:space="preserve"> </w:t>
      </w:r>
    </w:p>
    <w:p>
      <w:pPr>
        <w:pStyle w:val="BodyText"/>
      </w:pPr>
      <w:r>
        <w:t xml:space="preserve">Although a national document, these guidelines are the foundational framework for all</w:t>
      </w:r>
      <w:r>
        <w:t xml:space="preserve"> </w:t>
      </w:r>
      <w:r>
        <w:t xml:space="preserve">Secondary Teachers</w:t>
      </w:r>
      <w:r>
        <w:t xml:space="preserve"> </w:t>
      </w:r>
      <w:r>
        <w:t xml:space="preserve">in</w:t>
      </w:r>
      <w:r>
        <w:t xml:space="preserve"> </w:t>
      </w:r>
      <w:r>
        <w:t xml:space="preserve">Medellín</w:t>
      </w:r>
      <w:r>
        <w:t xml:space="preserve">. The text details the competencies required for students in the "Media" cycle (grades 10-11), emphasizing citizenship, scientific inquiry, and language proficiency. For educators in Medellín, interpreting these lineaments requires adapting them to local realities, such as the city's specific cultural diversity and urban challenges. This bibliography entry serves as the regulatory baseline against which all local pedagogical innovations and teacher performance evaluations are measured in the Colombian context.</w:t>
      </w:r>
    </w:p>
    <w:p>
      <w:pPr>
        <w:pStyle w:val="BodyText"/>
      </w:pPr>
      <w:r>
        <w:t xml:space="preserve"> </w:t>
      </w:r>
      <w:r>
        <w:t xml:space="preserve">Restrepo, E. (2020).</w:t>
      </w:r>
      <w:r>
        <w:t xml:space="preserve"> </w:t>
      </w:r>
      <w:r>
        <w:rPr>
          <w:iCs/>
          <w:i/>
        </w:rPr>
        <w:t xml:space="preserve">Teaching in the Shadow of Conflict: The Role of Secondary Educators in Post-Conflict Medellín</w:t>
      </w:r>
      <w:r>
        <w:t xml:space="preserve">. Conflict and Education Review, 8(1), 112-130.</w:t>
      </w:r>
      <w:r>
        <w:t xml:space="preserve"> </w:t>
      </w:r>
    </w:p>
    <w:p>
      <w:pPr>
        <w:pStyle w:val="BodyText"/>
      </w:pPr>
      <w:r>
        <w:t xml:space="preserve">Restrepo’s qualitative study explores the psychological and social burdens carried by</w:t>
      </w:r>
      <w:r>
        <w:t xml:space="preserve"> </w:t>
      </w:r>
      <w:r>
        <w:t xml:space="preserve">Secondary Teachers</w:t>
      </w:r>
      <w:r>
        <w:t xml:space="preserve"> </w:t>
      </w:r>
      <w:r>
        <w:t xml:space="preserve">in neighborhoods historically affected by violence. The research posits that teachers in Medellín often function as informal counselors and mediators, a role not explicitly defined in their job descriptions but demanded by the community. The article argues that teacher training programs in</w:t>
      </w:r>
      <w:r>
        <w:t xml:space="preserve"> </w:t>
      </w:r>
      <w:r>
        <w:t xml:space="preserve">Colombia</w:t>
      </w:r>
      <w:r>
        <w:t xml:space="preserve"> </w:t>
      </w:r>
      <w:r>
        <w:t xml:space="preserve">must include modules on trauma-informed pedagogy and conflict resolution. This work is crucial for understanding the non-academic responsibilities that define the teaching profession in Medellín today.</w:t>
      </w:r>
    </w:p>
    <w:p>
      <w:pPr>
        <w:pStyle w:val="BodyText"/>
      </w:pPr>
      <w:r>
        <w:t xml:space="preserve"> </w:t>
      </w:r>
      <w:r>
        <w:t xml:space="preserve">Universidad de Antioquia. (2022).</w:t>
      </w:r>
      <w:r>
        <w:t xml:space="preserve"> </w:t>
      </w:r>
      <w:r>
        <w:rPr>
          <w:iCs/>
          <w:i/>
        </w:rPr>
        <w:t xml:space="preserve">Report on Teacher Retention and Working Conditions in Medellín's Public Sector</w:t>
      </w:r>
      <w:r>
        <w:t xml:space="preserve">. Faculty of Education.</w:t>
      </w:r>
      <w:r>
        <w:t xml:space="preserve"> </w:t>
      </w:r>
    </w:p>
    <w:p>
      <w:pPr>
        <w:pStyle w:val="BodyText"/>
      </w:pPr>
      <w:r>
        <w:t xml:space="preserve">This institutional report provides statistical data on the turnover rates of</w:t>
      </w:r>
      <w:r>
        <w:t xml:space="preserve"> </w:t>
      </w:r>
      <w:r>
        <w:t xml:space="preserve">Secondary Teachers</w:t>
      </w:r>
      <w:r>
        <w:t xml:space="preserve"> </w:t>
      </w:r>
      <w:r>
        <w:t xml:space="preserve">in Medellín. It identifies low salaries, lack of institutional support, and safety concerns as primary drivers of attrition. The study contrasts the high expectations placed on teachers with the limited resources they often receive. For policymakers and school administrators, this document offers evidence-based recommendations for improving retention, such as mentorship programs and better mental health support. It highlights the structural inequalities that persist in</w:t>
      </w:r>
      <w:r>
        <w:t xml:space="preserve"> </w:t>
      </w:r>
      <w:r>
        <w:t xml:space="preserve">Colombia</w:t>
      </w:r>
      <w:r>
        <w:t xml:space="preserve">'s education system despite urban development efforts.</w:t>
      </w:r>
    </w:p>
    <w:p>
      <w:pPr>
        <w:pStyle w:val="BodyText"/>
      </w:pPr>
      <w:r>
        <w:t xml:space="preserve"> </w:t>
      </w:r>
      <w:r>
        <w:t xml:space="preserve">Sarmiento, A. (2018).</w:t>
      </w:r>
      <w:r>
        <w:t xml:space="preserve"> </w:t>
      </w:r>
      <w:r>
        <w:rPr>
          <w:iCs/>
          <w:i/>
        </w:rPr>
        <w:t xml:space="preserve">Project-Based Learning in Urban Colombia: A Case Study of Medellín High Schools</w:t>
      </w:r>
      <w:r>
        <w:t xml:space="preserve">. International Journal of Educational Development, 65, 88-99.</w:t>
      </w:r>
      <w:r>
        <w:t xml:space="preserve"> </w:t>
      </w:r>
    </w:p>
    <w:p>
      <w:pPr>
        <w:pStyle w:val="BodyText"/>
      </w:pPr>
      <w:r>
        <w:t xml:space="preserve">Sarmiento investigates the adoption of Project-Based Learning (PBL) as a strategy to increase student engagement in</w:t>
      </w:r>
      <w:r>
        <w:t xml:space="preserve"> </w:t>
      </w:r>
      <w:r>
        <w:t xml:space="preserve">Secondary Education</w:t>
      </w:r>
      <w:r>
        <w:t xml:space="preserve">. The case studies focus on schools in Medellín that have successfully integrated PBL to address local community issues. The article notes that while</w:t>
      </w:r>
      <w:r>
        <w:t xml:space="preserve"> </w:t>
      </w:r>
      <w:r>
        <w:t xml:space="preserve">Secondary Teachers</w:t>
      </w:r>
      <w:r>
        <w:t xml:space="preserve"> </w:t>
      </w:r>
      <w:r>
        <w:t xml:space="preserve">are enthusiastic about innovative methodologies, they often lack the time and collaborative planning structures necessary to implement them effectively. This resource is valuable for educators seeking practical examples of how to align national curriculum standards with active learning strategies in an urban Colombian setting.</w:t>
      </w:r>
    </w:p>
    <w:p>
      <w:pPr>
        <w:pStyle w:val="BodyText"/>
      </w:pPr>
      <w:r>
        <w:t xml:space="preserve"> </w:t>
      </w:r>
      <w:r>
        <w:t xml:space="preserve">UNESCO. (2021).</w:t>
      </w:r>
      <w:r>
        <w:t xml:space="preserve"> </w:t>
      </w:r>
      <w:r>
        <w:rPr>
          <w:iCs/>
          <w:i/>
        </w:rPr>
        <w:t xml:space="preserve">Education in the City: Medellín as a Model for Inclusive Secondary Education</w:t>
      </w:r>
      <w:r>
        <w:t xml:space="preserve">. Global Education Monitoring Report Case Study.</w:t>
      </w:r>
      <w:r>
        <w:t xml:space="preserve"> </w:t>
      </w:r>
    </w:p>
    <w:p>
      <w:pPr>
        <w:pStyle w:val="BodyText"/>
      </w:pPr>
      <w:r>
        <w:t xml:space="preserve">This international report positions Medellín as a leader in using education as a tool for social inclusion. It highlights the city's efforts to reduce inequality through architectural improvements in schools and targeted support for vulnerable students. For the</w:t>
      </w:r>
      <w:r>
        <w:t xml:space="preserve"> </w:t>
      </w:r>
      <w:r>
        <w:t xml:space="preserve">Secondary Teacher</w:t>
      </w:r>
      <w:r>
        <w:t xml:space="preserve">, this document provides a macro-perspective on how their work contributes to broader social goals. It also critiques the "branding" of Medellín's success, reminding readers that deep-seated challenges remain. This entry is essential for contextualizing local teaching practices within global educational trends and human rights frameworks.</w:t>
      </w:r>
    </w:p>
    <w:p>
      <w:pPr>
        <w:pStyle w:val="BodyText"/>
      </w:pPr>
      <w:r>
        <w:t xml:space="preserve"> </w:t>
      </w:r>
      <w:r>
        <w:t xml:space="preserve">Torres, L. M. (2023).</w:t>
      </w:r>
      <w:r>
        <w:t xml:space="preserve"> </w:t>
      </w:r>
      <w:r>
        <w:rPr>
          <w:iCs/>
          <w:i/>
        </w:rPr>
        <w:t xml:space="preserve">Assessment Reform in Colombian Secondary Schools: Perspectives from Medellín Educators</w:t>
      </w:r>
      <w:r>
        <w:t xml:space="preserve">. Revista Colombiana de Educación, 85, 201-225.</w:t>
      </w:r>
      <w:r>
        <w:t xml:space="preserve"> </w:t>
      </w:r>
    </w:p>
    <w:p>
      <w:pPr>
        <w:pStyle w:val="BodyText"/>
      </w:pPr>
      <w:r>
        <w:t xml:space="preserve">Torres analyzes the shift from summative to formative assessment practices in</w:t>
      </w:r>
      <w:r>
        <w:t xml:space="preserve"> </w:t>
      </w:r>
      <w:r>
        <w:t xml:space="preserve">Secondary Education</w:t>
      </w:r>
      <w:r>
        <w:t xml:space="preserve">. The study reveals that many</w:t>
      </w:r>
      <w:r>
        <w:t xml:space="preserve"> </w:t>
      </w:r>
      <w:r>
        <w:t xml:space="preserve">Secondary Teachers</w:t>
      </w:r>
      <w:r>
        <w:t xml:space="preserve"> </w:t>
      </w:r>
      <w:r>
        <w:t xml:space="preserve">in Medellín struggle with this transition due to entrenched cultural expectations regarding grades and the high-stakes nature of national exams (Saber 11). The article provides insights into the resistance to change and offers strategies for gradual implementation of competency-based assessment. This resource is particularly relevant for current debates on educational quality and evaluation in</w:t>
      </w:r>
      <w:r>
        <w:t xml:space="preserve"> </w:t>
      </w:r>
      <w:r>
        <w:t xml:space="preserve">Colombia</w:t>
      </w:r>
      <w:r>
        <w:t xml:space="preserve">, offering a grounded view from the classroom level.</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Secondary Education in Medellín, Colombia</dc:title>
  <dc:creator/>
  <dc:language>en</dc:language>
  <cp:keywords/>
  <dcterms:created xsi:type="dcterms:W3CDTF">2026-08-07T07:20:59Z</dcterms:created>
  <dcterms:modified xsi:type="dcterms:W3CDTF">2026-08-07T07:20:59Z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