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Jakarta,</w:t>
      </w:r>
      <w:r>
        <w:t xml:space="preserve"> </w:t>
      </w:r>
      <w:r>
        <w:t xml:space="preserve">Indonesia</w:t>
      </w:r>
    </w:p>
    <w:bookmarkStart w:id="24" w:name="Xec1e1f3559621c61789b1382416b10150651987"/>
    <w:p>
      <w:pPr>
        <w:pStyle w:val="Heading1"/>
      </w:pPr>
      <w:r>
        <w:t xml:space="preserve">Annotated Bibliography: The Role and Challenges of the Secondary Teacher in Jakarta, Indonesia</w:t>
      </w:r>
    </w:p>
    <w:p>
      <w:pPr>
        <w:pStyle w:val="FirstParagraph"/>
      </w:pPr>
      <w:r>
        <w:t xml:space="preserve">The landscape of secondary education in Jakarta, Indonesia, is undergoing a profound transformation. As the nation's capital and economic hub, Jakarta presents a unique environment for the</w:t>
      </w:r>
      <w:r>
        <w:t xml:space="preserve"> </w:t>
      </w:r>
      <w:r>
        <w:rPr>
          <w:bCs/>
          <w:b/>
        </w:rPr>
        <w:t xml:space="preserve">Secondary Teacher</w:t>
      </w:r>
      <w:r>
        <w:t xml:space="preserve">, characterized by a blend of rapid technological integration, diverse socioeconomic student populations, and strict adherence to national curriculum reforms. This annotated bibliography compiles essential literature regarding the professional development, pedagogical challenges, and systemic pressures facing educators in Jakarta's junior and senior high schools (SMP and SMA). The selected sources provide a comprehensive overview of the current educational climate, focusing on the implementation of the Kurikulum Merdeka, digital literacy, and the specific cultural dynamics of teaching in the Indonesian capital.</w:t>
      </w:r>
    </w:p>
    <w:bookmarkStart w:id="20" w:name="X273cb37fdd345551666f440f1991951ab242c32"/>
    <w:p>
      <w:pPr>
        <w:pStyle w:val="Heading2"/>
      </w:pPr>
      <w:r>
        <w:t xml:space="preserve">Curriculum Reform and Pedagogical Adaptation</w:t>
      </w:r>
    </w:p>
    <w:p>
      <w:pPr>
        <w:pStyle w:val="FirstParagraph"/>
      </w:pPr>
      <w:r>
        <w:t xml:space="preserve"> </w:t>
      </w:r>
      <w:r>
        <w:t xml:space="preserve">Ministry of Education, Culture, Research, and Technology of the Republic of Indonesia. (2022).</w:t>
      </w:r>
      <w:r>
        <w:t xml:space="preserve"> </w:t>
      </w:r>
      <w:r>
        <w:rPr>
          <w:iCs/>
          <w:i/>
        </w:rPr>
        <w:t xml:space="preserve">Kurikulum Merdeka: Panduan Implementasi untuk Guru SMP dan SMA</w:t>
      </w:r>
      <w:r>
        <w:t xml:space="preserve">. Jakarta: Kemendikbudristek.</w:t>
      </w:r>
      <w:r>
        <w:t xml:space="preserve"> </w:t>
      </w:r>
    </w:p>
    <w:p>
      <w:pPr>
        <w:pStyle w:val="BodyText"/>
      </w:pPr>
      <w:r>
        <w:t xml:space="preserve">This official government publication serves as the primary directive for the "Independent Curriculum" (Kurikulum Merdeka). It outlines the shift from content-heavy instruction to a more flexible, student-centered approach. The document details the requirements for</w:t>
      </w:r>
      <w:r>
        <w:t xml:space="preserve"> </w:t>
      </w:r>
      <w:r>
        <w:rPr>
          <w:bCs/>
          <w:b/>
        </w:rPr>
        <w:t xml:space="preserve">Secondary Teachers</w:t>
      </w:r>
      <w:r>
        <w:t xml:space="preserve"> </w:t>
      </w:r>
      <w:r>
        <w:t xml:space="preserve">in</w:t>
      </w:r>
      <w:r>
        <w:t xml:space="preserve"> </w:t>
      </w:r>
      <w:r>
        <w:rPr>
          <w:bCs/>
          <w:b/>
        </w:rPr>
        <w:t xml:space="preserve">Indonesia</w:t>
      </w:r>
      <w:r>
        <w:t xml:space="preserve"> </w:t>
      </w:r>
      <w:r>
        <w:t xml:space="preserve">to focus on core competencies and character building (Profil Pelajar Pancasila). It provides specific frameworks for lesson planning and assessment that are mandatory for schools in</w:t>
      </w:r>
      <w:r>
        <w:t xml:space="preserve"> </w:t>
      </w:r>
      <w:r>
        <w:rPr>
          <w:bCs/>
          <w:b/>
        </w:rPr>
        <w:t xml:space="preserve">Jakarta</w:t>
      </w:r>
      <w:r>
        <w:t xml:space="preserve"> </w:t>
      </w:r>
      <w:r>
        <w:t xml:space="preserve">and across the archipelago.</w:t>
      </w:r>
    </w:p>
    <w:p>
      <w:pPr>
        <w:pStyle w:val="BodyText"/>
      </w:pPr>
      <w:r>
        <w:t xml:space="preserve">This source is authoritative and essential for understanding the legal and pedagogical framework governing the profession today. For a teacher in Jakarta, this text is not merely theoretical but a practical manual required for daily compliance and professional evaluation.</w:t>
      </w:r>
    </w:p>
    <w:p>
      <w:pPr>
        <w:pStyle w:val="BodyText"/>
      </w:pPr>
      <w:r>
        <w:t xml:space="preserve"> </w:t>
      </w:r>
      <w:r>
        <w:t xml:space="preserve">Santrock, J. W., &amp; Kusumastuti, I. (2021).</w:t>
      </w:r>
      <w:r>
        <w:t xml:space="preserve"> </w:t>
      </w:r>
      <w:r>
        <w:rPr>
          <w:iCs/>
          <w:i/>
        </w:rPr>
        <w:t xml:space="preserve">Educational Psychology</w:t>
      </w:r>
      <w:r>
        <w:t xml:space="preserve"> </w:t>
      </w:r>
      <w:r>
        <w:t xml:space="preserve">(10th ed.). Jakarta: Erlangga.</w:t>
      </w:r>
      <w:r>
        <w:t xml:space="preserve"> </w:t>
      </w:r>
    </w:p>
    <w:p>
      <w:pPr>
        <w:pStyle w:val="BodyText"/>
      </w:pPr>
      <w:r>
        <w:t xml:space="preserve">While a global text, this edition is specifically adapted for the</w:t>
      </w:r>
      <w:r>
        <w:t xml:space="preserve"> </w:t>
      </w:r>
      <w:r>
        <w:rPr>
          <w:bCs/>
          <w:b/>
        </w:rPr>
        <w:t xml:space="preserve">Indonesian</w:t>
      </w:r>
      <w:r>
        <w:t xml:space="preserve"> </w:t>
      </w:r>
      <w:r>
        <w:t xml:space="preserve">context. It explores the psychological development of adolescents, a critical demographic for</w:t>
      </w:r>
      <w:r>
        <w:t xml:space="preserve"> </w:t>
      </w:r>
      <w:r>
        <w:rPr>
          <w:bCs/>
          <w:b/>
        </w:rPr>
        <w:t xml:space="preserve">Secondary Teachers</w:t>
      </w:r>
      <w:r>
        <w:t xml:space="preserve">. The text addresses classroom management strategies, motivation, and individual differences, with case studies relevant to Southeast Asian educational settings. It emphasizes the importance of understanding the cultural nuances of students in urban centers like</w:t>
      </w:r>
      <w:r>
        <w:t xml:space="preserve"> </w:t>
      </w:r>
      <w:r>
        <w:rPr>
          <w:bCs/>
          <w:b/>
        </w:rPr>
        <w:t xml:space="preserve">Jakarta</w:t>
      </w:r>
      <w:r>
        <w:t xml:space="preserve">, where peer pressure and digital distraction are prevalent.</w:t>
      </w:r>
    </w:p>
    <w:p>
      <w:pPr>
        <w:pStyle w:val="BodyText"/>
      </w:pPr>
      <w:r>
        <w:t xml:space="preserve">This book is highly valuable for bridging the gap between Western educational theory and local application. It provides the</w:t>
      </w:r>
      <w:r>
        <w:t xml:space="preserve"> </w:t>
      </w:r>
      <w:r>
        <w:rPr>
          <w:bCs/>
          <w:b/>
        </w:rPr>
        <w:t xml:space="preserve">Secondary Teacher</w:t>
      </w:r>
      <w:r>
        <w:t xml:space="preserve"> </w:t>
      </w:r>
      <w:r>
        <w:t xml:space="preserve">with evidence-based strategies to handle the behavioral and emotional complexities of teenagers in a bustling metropolis.</w:t>
      </w:r>
    </w:p>
    <w:bookmarkEnd w:id="20"/>
    <w:bookmarkStart w:id="21" w:name="Xcad2d5e7a2ce132c921ad8a31bdb91279c39fdb"/>
    <w:p>
      <w:pPr>
        <w:pStyle w:val="Heading2"/>
      </w:pPr>
      <w:r>
        <w:t xml:space="preserve">Technology and Digital Literacy in the Capital</w:t>
      </w:r>
    </w:p>
    <w:p>
      <w:pPr>
        <w:pStyle w:val="FirstParagraph"/>
      </w:pPr>
      <w:r>
        <w:t xml:space="preserve"> </w:t>
      </w:r>
      <w:r>
        <w:t xml:space="preserve">Pratiwi, A., &amp; Setiawan, B. (2023). "Digital Transformation in Jakarta's Public High Schools: Challenges for Teachers."</w:t>
      </w:r>
      <w:r>
        <w:t xml:space="preserve"> </w:t>
      </w:r>
      <w:r>
        <w:rPr>
          <w:iCs/>
          <w:i/>
        </w:rPr>
        <w:t xml:space="preserve">Journal of Indonesian Educational Technology</w:t>
      </w:r>
      <w:r>
        <w:t xml:space="preserve">, 12(1), 45-62.</w:t>
      </w:r>
      <w:r>
        <w:t xml:space="preserve"> </w:t>
      </w:r>
    </w:p>
    <w:p>
      <w:pPr>
        <w:pStyle w:val="BodyText"/>
      </w:pPr>
      <w:r>
        <w:t xml:space="preserve">This peer-reviewed article investigates the implementation of digital learning tools in</w:t>
      </w:r>
      <w:r>
        <w:t xml:space="preserve"> </w:t>
      </w:r>
      <w:r>
        <w:rPr>
          <w:bCs/>
          <w:b/>
        </w:rPr>
        <w:t xml:space="preserve">Jakarta</w:t>
      </w:r>
      <w:r>
        <w:t xml:space="preserve">'s public secondary schools. It highlights the disparity between infrastructure availability and teacher competency. The authors argue that while</w:t>
      </w:r>
      <w:r>
        <w:t xml:space="preserve"> </w:t>
      </w:r>
      <w:r>
        <w:rPr>
          <w:bCs/>
          <w:b/>
        </w:rPr>
        <w:t xml:space="preserve">Jakarta</w:t>
      </w:r>
      <w:r>
        <w:t xml:space="preserve"> </w:t>
      </w:r>
      <w:r>
        <w:t xml:space="preserve">has superior internet access compared to other regions, many</w:t>
      </w:r>
      <w:r>
        <w:t xml:space="preserve"> </w:t>
      </w:r>
      <w:r>
        <w:rPr>
          <w:bCs/>
          <w:b/>
        </w:rPr>
        <w:t xml:space="preserve">Secondary Teachers</w:t>
      </w:r>
      <w:r>
        <w:t xml:space="preserve"> </w:t>
      </w:r>
      <w:r>
        <w:t xml:space="preserve">struggle to integrate technology meaningfully into their pedagogy. The study suggests that professional development must move beyond basic computer literacy to focus on digital pedagogy.</w:t>
      </w:r>
    </w:p>
    <w:p>
      <w:pPr>
        <w:pStyle w:val="BodyText"/>
      </w:pPr>
      <w:r>
        <w:t xml:space="preserve">This source is critical for understanding the modern classroom in the capital. It offers a realistic assessment of the technological hurdles a</w:t>
      </w:r>
      <w:r>
        <w:t xml:space="preserve"> </w:t>
      </w:r>
      <w:r>
        <w:rPr>
          <w:bCs/>
          <w:b/>
        </w:rPr>
        <w:t xml:space="preserve">Secondary Teacher</w:t>
      </w:r>
      <w:r>
        <w:t xml:space="preserve"> </w:t>
      </w:r>
      <w:r>
        <w:t xml:space="preserve">faces and provides data-driven recommendations for improving digital fluency in</w:t>
      </w:r>
      <w:r>
        <w:t xml:space="preserve"> </w:t>
      </w:r>
      <w:r>
        <w:rPr>
          <w:bCs/>
          <w:b/>
        </w:rPr>
        <w:t xml:space="preserve">Indonesia</w:t>
      </w:r>
      <w:r>
        <w:t xml:space="preserve">'s largest city.</w:t>
      </w:r>
    </w:p>
    <w:p>
      <w:pPr>
        <w:pStyle w:val="BodyText"/>
      </w:pPr>
      <w:r>
        <w:t xml:space="preserve"> </w:t>
      </w:r>
      <w:r>
        <w:t xml:space="preserve">UNESCO. (2022).</w:t>
      </w:r>
      <w:r>
        <w:t xml:space="preserve"> </w:t>
      </w:r>
      <w:r>
        <w:rPr>
          <w:iCs/>
          <w:i/>
        </w:rPr>
        <w:t xml:space="preserve">Teacher Policy in Southeast Asia: The Case of Indonesia</w:t>
      </w:r>
      <w:r>
        <w:t xml:space="preserve">. Bangkok: UNESCO Regional Office for Education in Asia and the Pacific.</w:t>
      </w:r>
      <w:r>
        <w:t xml:space="preserve"> </w:t>
      </w:r>
    </w:p>
    <w:p>
      <w:pPr>
        <w:pStyle w:val="BodyText"/>
      </w:pPr>
      <w:r>
        <w:t xml:space="preserve">This report analyzes national teacher policies with a specific focus on urban centers. It discusses the certification process, salary structures, and continuous professional development (CPD) requirements for educators in</w:t>
      </w:r>
      <w:r>
        <w:t xml:space="preserve"> </w:t>
      </w:r>
      <w:r>
        <w:rPr>
          <w:bCs/>
          <w:b/>
        </w:rPr>
        <w:t xml:space="preserve">Indonesia</w:t>
      </w:r>
      <w:r>
        <w:t xml:space="preserve">. The report notes that</w:t>
      </w:r>
      <w:r>
        <w:t xml:space="preserve"> </w:t>
      </w:r>
      <w:r>
        <w:rPr>
          <w:bCs/>
          <w:b/>
        </w:rPr>
        <w:t xml:space="preserve">Jakarta</w:t>
      </w:r>
      <w:r>
        <w:t xml:space="preserve"> </w:t>
      </w:r>
      <w:r>
        <w:t xml:space="preserve">often serves as a pilot zone for new teacher policies. It emphasizes the need for</w:t>
      </w:r>
      <w:r>
        <w:t xml:space="preserve"> </w:t>
      </w:r>
      <w:r>
        <w:rPr>
          <w:bCs/>
          <w:b/>
        </w:rPr>
        <w:t xml:space="preserve">Secondary Teachers</w:t>
      </w:r>
      <w:r>
        <w:t xml:space="preserve"> </w:t>
      </w:r>
      <w:r>
        <w:t xml:space="preserve">to engage in lifelong learning to maintain their professional status and adapt to the evolving needs of urban students.</w:t>
      </w:r>
    </w:p>
    <w:p>
      <w:pPr>
        <w:pStyle w:val="BodyText"/>
      </w:pPr>
      <w:r>
        <w:t xml:space="preserve">As an international perspective on local policy, this document provides a macro-level view of the profession. It is useful for understanding how the role of the</w:t>
      </w:r>
      <w:r>
        <w:t xml:space="preserve"> </w:t>
      </w:r>
      <w:r>
        <w:rPr>
          <w:bCs/>
          <w:b/>
        </w:rPr>
        <w:t xml:space="preserve">Secondary Teacher</w:t>
      </w:r>
      <w:r>
        <w:t xml:space="preserve"> </w:t>
      </w:r>
      <w:r>
        <w:t xml:space="preserve">in</w:t>
      </w:r>
      <w:r>
        <w:t xml:space="preserve"> </w:t>
      </w:r>
      <w:r>
        <w:rPr>
          <w:bCs/>
          <w:b/>
        </w:rPr>
        <w:t xml:space="preserve">Jakarta</w:t>
      </w:r>
      <w:r>
        <w:t xml:space="preserve"> </w:t>
      </w:r>
      <w:r>
        <w:t xml:space="preserve">fits into broader regional and global educational standards.</w:t>
      </w:r>
    </w:p>
    <w:bookmarkEnd w:id="21"/>
    <w:bookmarkStart w:id="22" w:name="Xbbe017a63928d6b8b12b26908c1449c10d7f8bd"/>
    <w:p>
      <w:pPr>
        <w:pStyle w:val="Heading2"/>
      </w:pPr>
      <w:r>
        <w:t xml:space="preserve">Socio-Cultural Dynamics and Student Diversity</w:t>
      </w:r>
    </w:p>
    <w:p>
      <w:pPr>
        <w:pStyle w:val="FirstParagraph"/>
      </w:pPr>
      <w:r>
        <w:t xml:space="preserve"> </w:t>
      </w:r>
      <w:r>
        <w:t xml:space="preserve">Hidayat, R. (2020). "Multicultural Education in Jakarta: A Challenge for Secondary School Teachers."</w:t>
      </w:r>
      <w:r>
        <w:t xml:space="preserve"> </w:t>
      </w:r>
      <w:r>
        <w:rPr>
          <w:iCs/>
          <w:i/>
        </w:rPr>
        <w:t xml:space="preserve">Indonesian Journal of Teacher Education</w:t>
      </w:r>
      <w:r>
        <w:t xml:space="preserve">, 8(2), 112-125.</w:t>
      </w:r>
      <w:r>
        <w:t xml:space="preserve"> </w:t>
      </w:r>
    </w:p>
    <w:p>
      <w:pPr>
        <w:pStyle w:val="BodyText"/>
      </w:pPr>
      <w:r>
        <w:rPr>
          <w:bCs/>
          <w:b/>
        </w:rPr>
        <w:t xml:space="preserve">Jakarta</w:t>
      </w:r>
      <w:r>
        <w:t xml:space="preserve"> </w:t>
      </w:r>
      <w:r>
        <w:t xml:space="preserve">is a melting pot of cultures, religions, and socioeconomic backgrounds. This article explores how</w:t>
      </w:r>
      <w:r>
        <w:t xml:space="preserve"> </w:t>
      </w:r>
      <w:r>
        <w:rPr>
          <w:bCs/>
          <w:b/>
        </w:rPr>
        <w:t xml:space="preserve">Secondary Teachers</w:t>
      </w:r>
      <w:r>
        <w:t xml:space="preserve"> </w:t>
      </w:r>
      <w:r>
        <w:t xml:space="preserve">navigate this diversity in the classroom. Hidayat argues that teachers must adopt inclusive pedagogies to prevent discrimination and foster social cohesion. The text provides practical examples of multicultural lesson plans suitable for the</w:t>
      </w:r>
      <w:r>
        <w:t xml:space="preserve"> </w:t>
      </w:r>
      <w:r>
        <w:rPr>
          <w:bCs/>
          <w:b/>
        </w:rPr>
        <w:t xml:space="preserve">Indonesian</w:t>
      </w:r>
      <w:r>
        <w:t xml:space="preserve"> </w:t>
      </w:r>
      <w:r>
        <w:t xml:space="preserve">secondary curriculum, emphasizing the teacher's role as a social agent in the city.</w:t>
      </w:r>
    </w:p>
    <w:p>
      <w:pPr>
        <w:pStyle w:val="BodyText"/>
      </w:pPr>
      <w:r>
        <w:t xml:space="preserve">This source is indispensable for any educator working in the capital. It addresses the unique social fabric of</w:t>
      </w:r>
      <w:r>
        <w:t xml:space="preserve"> </w:t>
      </w:r>
      <w:r>
        <w:rPr>
          <w:bCs/>
          <w:b/>
        </w:rPr>
        <w:t xml:space="preserve">Jakarta</w:t>
      </w:r>
      <w:r>
        <w:t xml:space="preserve"> </w:t>
      </w:r>
      <w:r>
        <w:t xml:space="preserve">and equips the</w:t>
      </w:r>
      <w:r>
        <w:t xml:space="preserve"> </w:t>
      </w:r>
      <w:r>
        <w:rPr>
          <w:bCs/>
          <w:b/>
        </w:rPr>
        <w:t xml:space="preserve">Secondary Teacher</w:t>
      </w:r>
      <w:r>
        <w:t xml:space="preserve"> </w:t>
      </w:r>
      <w:r>
        <w:t xml:space="preserve">with the cultural competence necessary to manage a diverse student body effectively.</w:t>
      </w:r>
    </w:p>
    <w:p>
      <w:pPr>
        <w:pStyle w:val="BodyText"/>
      </w:pPr>
      <w:r>
        <w:t xml:space="preserve"> </w:t>
      </w:r>
      <w:r>
        <w:t xml:space="preserve">World Bank. (2021).</w:t>
      </w:r>
      <w:r>
        <w:t xml:space="preserve"> </w:t>
      </w:r>
      <w:r>
        <w:rPr>
          <w:iCs/>
          <w:i/>
        </w:rPr>
        <w:t xml:space="preserve">Indonesia Education Sector Review: Learning for the Future</w:t>
      </w:r>
      <w:r>
        <w:t xml:space="preserve">. Washington, DC: World Bank Group.</w:t>
      </w:r>
      <w:r>
        <w:t xml:space="preserve"> </w:t>
      </w:r>
    </w:p>
    <w:p>
      <w:pPr>
        <w:pStyle w:val="BodyText"/>
      </w:pPr>
      <w:r>
        <w:t xml:space="preserve">This comprehensive review assesses the quality of education across</w:t>
      </w:r>
      <w:r>
        <w:t xml:space="preserve"> </w:t>
      </w:r>
      <w:r>
        <w:rPr>
          <w:bCs/>
          <w:b/>
        </w:rPr>
        <w:t xml:space="preserve">Indonesia</w:t>
      </w:r>
      <w:r>
        <w:t xml:space="preserve">, with significant data points regarding urban schools in</w:t>
      </w:r>
      <w:r>
        <w:t xml:space="preserve"> </w:t>
      </w:r>
      <w:r>
        <w:rPr>
          <w:bCs/>
          <w:b/>
        </w:rPr>
        <w:t xml:space="preserve">Jakarta</w:t>
      </w:r>
      <w:r>
        <w:t xml:space="preserve">. It highlights the pressure on</w:t>
      </w:r>
      <w:r>
        <w:t xml:space="preserve"> </w:t>
      </w:r>
      <w:r>
        <w:rPr>
          <w:bCs/>
          <w:b/>
        </w:rPr>
        <w:t xml:space="preserve">Secondary Teachers</w:t>
      </w:r>
      <w:r>
        <w:t xml:space="preserve"> </w:t>
      </w:r>
      <w:r>
        <w:t xml:space="preserve">to improve student learning outcomes in preparation for national and international assessments. The report discusses the need for better teacher training and support systems to reduce the achievement gap between public and private schools in the capital.</w:t>
      </w:r>
    </w:p>
    <w:p>
      <w:pPr>
        <w:pStyle w:val="BodyText"/>
      </w:pPr>
      <w:r>
        <w:t xml:space="preserve">This document provides a high-level economic and statistical perspective on the education sector. It is useful for understanding the external pressures and expectations placed upon the</w:t>
      </w:r>
      <w:r>
        <w:t xml:space="preserve"> </w:t>
      </w:r>
      <w:r>
        <w:rPr>
          <w:bCs/>
          <w:b/>
        </w:rPr>
        <w:t xml:space="preserve">Secondary Teacher</w:t>
      </w:r>
      <w:r>
        <w:t xml:space="preserve"> </w:t>
      </w:r>
      <w:r>
        <w:t xml:space="preserve">in</w:t>
      </w:r>
      <w:r>
        <w:t xml:space="preserve"> </w:t>
      </w:r>
      <w:r>
        <w:rPr>
          <w:bCs/>
          <w:b/>
        </w:rPr>
        <w:t xml:space="preserve">Jakarta</w:t>
      </w:r>
      <w:r>
        <w:t xml:space="preserve"> </w:t>
      </w:r>
      <w:r>
        <w:t xml:space="preserve">by government and international bodies.</w:t>
      </w:r>
    </w:p>
    <w:bookmarkEnd w:id="22"/>
    <w:bookmarkStart w:id="23" w:name="professional-ethics-and-well-being"/>
    <w:p>
      <w:pPr>
        <w:pStyle w:val="Heading2"/>
      </w:pPr>
      <w:r>
        <w:t xml:space="preserve">Professional Ethics and Well-being</w:t>
      </w:r>
    </w:p>
    <w:p>
      <w:pPr>
        <w:pStyle w:val="FirstParagraph"/>
      </w:pPr>
      <w:r>
        <w:t xml:space="preserve"> </w:t>
      </w:r>
      <w:r>
        <w:t xml:space="preserve">PGRI (Persatuan Guru Republik Indonesia). (2019).</w:t>
      </w:r>
      <w:r>
        <w:t xml:space="preserve"> </w:t>
      </w:r>
      <w:r>
        <w:rPr>
          <w:iCs/>
          <w:i/>
        </w:rPr>
        <w:t xml:space="preserve">Kode Etik Guru Indonesia dan Pedoman Profesi</w:t>
      </w:r>
      <w:r>
        <w:t xml:space="preserve">. Jakarta: Pengurus Besar PGRI.</w:t>
      </w:r>
      <w:r>
        <w:t xml:space="preserve"> </w:t>
      </w:r>
    </w:p>
    <w:p>
      <w:pPr>
        <w:pStyle w:val="BodyText"/>
      </w:pPr>
      <w:r>
        <w:t xml:space="preserve">Published by the Indonesian Teachers' Association, this document outlines the ethical standards and professional conduct expected of all teachers in</w:t>
      </w:r>
      <w:r>
        <w:t xml:space="preserve"> </w:t>
      </w:r>
      <w:r>
        <w:rPr>
          <w:bCs/>
          <w:b/>
        </w:rPr>
        <w:t xml:space="preserve">Indonesia</w:t>
      </w:r>
      <w:r>
        <w:t xml:space="preserve">. It covers relationships with students, parents, colleagues, and the community. For the</w:t>
      </w:r>
      <w:r>
        <w:t xml:space="preserve"> </w:t>
      </w:r>
      <w:r>
        <w:rPr>
          <w:bCs/>
          <w:b/>
        </w:rPr>
        <w:t xml:space="preserve">Secondary Teacher</w:t>
      </w:r>
      <w:r>
        <w:t xml:space="preserve"> </w:t>
      </w:r>
      <w:r>
        <w:t xml:space="preserve">in</w:t>
      </w:r>
      <w:r>
        <w:t xml:space="preserve"> </w:t>
      </w:r>
      <w:r>
        <w:rPr>
          <w:bCs/>
          <w:b/>
        </w:rPr>
        <w:t xml:space="preserve">Jakarta</w:t>
      </w:r>
      <w:r>
        <w:t xml:space="preserve">, where the profession is highly visible and scrutinized, this code serves as a moral compass and a legal safeguard. It also addresses the importance of teacher well-being and professional dignity.</w:t>
      </w:r>
    </w:p>
    <w:p>
      <w:pPr>
        <w:pStyle w:val="BodyText"/>
      </w:pPr>
      <w:r>
        <w:t xml:space="preserve">This is a foundational text for professional identity. It is crucial for any</w:t>
      </w:r>
      <w:r>
        <w:t xml:space="preserve"> </w:t>
      </w:r>
      <w:r>
        <w:rPr>
          <w:bCs/>
          <w:b/>
        </w:rPr>
        <w:t xml:space="preserve">Secondary Teacher</w:t>
      </w:r>
      <w:r>
        <w:t xml:space="preserve"> </w:t>
      </w:r>
      <w:r>
        <w:t xml:space="preserve">in</w:t>
      </w:r>
      <w:r>
        <w:t xml:space="preserve"> </w:t>
      </w:r>
      <w:r>
        <w:rPr>
          <w:bCs/>
          <w:b/>
        </w:rPr>
        <w:t xml:space="preserve">Jakarta</w:t>
      </w:r>
      <w:r>
        <w:t xml:space="preserve"> </w:t>
      </w:r>
      <w:r>
        <w:t xml:space="preserve">to understand their rights and responsibilities within the local professional community and the broader</w:t>
      </w:r>
      <w:r>
        <w:t xml:space="preserve"> </w:t>
      </w:r>
      <w:r>
        <w:rPr>
          <w:bCs/>
          <w:b/>
        </w:rPr>
        <w:t xml:space="preserve">Indonesian</w:t>
      </w:r>
      <w:r>
        <w:t xml:space="preserve"> </w:t>
      </w:r>
      <w:r>
        <w:t xml:space="preserve">society.</w:t>
      </w:r>
    </w:p>
    <w:p>
      <w:pPr>
        <w:pStyle w:val="BodyText"/>
      </w:pPr>
      <w:r>
        <w:t xml:space="preserve"> </w:t>
      </w:r>
      <w:r>
        <w:t xml:space="preserve">Sari, D. P., &amp; Wijaya, K. (2022). "Teacher Burnout in Urban Indonesia: A Study of Jakarta High School Educators."</w:t>
      </w:r>
      <w:r>
        <w:t xml:space="preserve"> </w:t>
      </w:r>
      <w:r>
        <w:rPr>
          <w:iCs/>
          <w:i/>
        </w:rPr>
        <w:t xml:space="preserve">Journal of Educational Psychology in Asia</w:t>
      </w:r>
      <w:r>
        <w:t xml:space="preserve">, 15(3), 201-218.</w:t>
      </w:r>
      <w:r>
        <w:t xml:space="preserve"> </w:t>
      </w:r>
    </w:p>
    <w:p>
      <w:pPr>
        <w:pStyle w:val="BodyText"/>
      </w:pPr>
      <w:r>
        <w:t xml:space="preserve">This study focuses on the mental health and job satisfaction of</w:t>
      </w:r>
      <w:r>
        <w:t xml:space="preserve"> </w:t>
      </w:r>
      <w:r>
        <w:rPr>
          <w:bCs/>
          <w:b/>
        </w:rPr>
        <w:t xml:space="preserve">Secondary Teachers</w:t>
      </w:r>
      <w:r>
        <w:t xml:space="preserve"> </w:t>
      </w:r>
      <w:r>
        <w:t xml:space="preserve">in</w:t>
      </w:r>
      <w:r>
        <w:t xml:space="preserve"> </w:t>
      </w:r>
      <w:r>
        <w:rPr>
          <w:bCs/>
          <w:b/>
        </w:rPr>
        <w:t xml:space="preserve">Jakarta</w:t>
      </w:r>
      <w:r>
        <w:t xml:space="preserve">. It identifies high workloads, administrative burdens, and traffic-related stress as major contributors to burnout. The authors recommend systemic changes and individual coping strategies to support teacher resilience. The findings are particularly relevant given the intense pace of life in the capital city.</w:t>
      </w:r>
    </w:p>
    <w:p>
      <w:pPr>
        <w:pStyle w:val="BodyText"/>
      </w:pPr>
      <w:r>
        <w:t xml:space="preserve">This source offers a humanistic perspective on the profession. It validates the challenges faced by educators in</w:t>
      </w:r>
      <w:r>
        <w:t xml:space="preserve"> </w:t>
      </w:r>
      <w:r>
        <w:rPr>
          <w:bCs/>
          <w:b/>
        </w:rPr>
        <w:t xml:space="preserve">Jakarta</w:t>
      </w:r>
      <w:r>
        <w:t xml:space="preserve"> </w:t>
      </w:r>
      <w:r>
        <w:t xml:space="preserve">and provides insights into maintaining professional longevity and mental health in a demanding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Jakarta, Indonesia</dc:title>
  <dc:creator/>
  <dc:language>en</dc:language>
  <cp:keywords/>
  <dcterms:created xsi:type="dcterms:W3CDTF">2026-08-07T07:23:19Z</dcterms:created>
  <dcterms:modified xsi:type="dcterms:W3CDTF">2026-08-07T07:23:19Z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