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Casablanca,</w:t>
      </w:r>
      <w:r>
        <w:t xml:space="preserve"> </w:t>
      </w:r>
      <w:r>
        <w:t xml:space="preserve">Morocco</w:t>
      </w:r>
    </w:p>
    <w:bookmarkStart w:id="21" w:name="annotated-bibliography"/>
    <w:p>
      <w:pPr>
        <w:pStyle w:val="Heading1"/>
      </w:pPr>
      <w:r>
        <w:t xml:space="preserve">Annotated Bibliography</w:t>
      </w:r>
    </w:p>
    <w:bookmarkStart w:id="20" w:name="Xecc1acb1439556a900fb3c6233016ce0b66084c"/>
    <w:p>
      <w:pPr>
        <w:pStyle w:val="Heading2"/>
      </w:pPr>
      <w:r>
        <w:t xml:space="preserve">Challenges and Innovations for the Secondary Teacher in Casablanca, Morocco</w:t>
      </w:r>
    </w:p>
    <w:bookmarkEnd w:id="20"/>
    <w:bookmarkEnd w:id="21"/>
    <w:p>
      <w:pPr>
        <w:pStyle w:val="FirstParagraph"/>
      </w:pPr>
      <w:r>
        <w:t xml:space="preserve">The landscape of secondary education in Morocco is undergoing significant transformation, driven by the national "New Model of Education and Training" (NMEF). For the</w:t>
      </w:r>
      <w:r>
        <w:t xml:space="preserve"> </w:t>
      </w:r>
      <w:r>
        <w:rPr>
          <w:bCs/>
          <w:b/>
        </w:rPr>
        <w:t xml:space="preserve">Secondary Teacher</w:t>
      </w:r>
      <w:r>
        <w:t xml:space="preserve"> </w:t>
      </w:r>
      <w:r>
        <w:t xml:space="preserve">operating within the bustling, cosmopolitan environment of</w:t>
      </w:r>
      <w:r>
        <w:t xml:space="preserve"> </w:t>
      </w:r>
      <w:r>
        <w:rPr>
          <w:bCs/>
          <w:b/>
        </w:rPr>
        <w:t xml:space="preserve">Casablanca</w:t>
      </w:r>
      <w:r>
        <w:t xml:space="preserve">, this transition presents unique pedagogical, linguistic, and socio-cultural challenges. This annotated bibliography compiles key resources that address the specific realities of teaching in Moroccan secondary schools, with a particular focus on the urban dynamics of Casablanca. The selected works explore curriculum reform, the integration of digital technologies, the complexities of multilingualism (Arabic, French, English, and Amazigh), and the socio-economic factors influencing student performance in the Grand Casablanca region.</w:t>
      </w:r>
    </w:p>
    <w:p>
      <w:pPr>
        <w:pStyle w:val="BodyText"/>
      </w:pPr>
      <w:r>
        <w:t xml:space="preserve"> </w:t>
      </w:r>
      <w:r>
        <w:t xml:space="preserve">Ministry of National Education, Preschool, and Sports. (2019).</w:t>
      </w:r>
      <w:r>
        <w:t xml:space="preserve"> </w:t>
      </w:r>
      <w:r>
        <w:rPr>
          <w:iCs/>
          <w:i/>
        </w:rPr>
        <w:t xml:space="preserve">The New Model of Education and Training 2015-2030</w:t>
      </w:r>
      <w:r>
        <w:t xml:space="preserve">. Rabat: Ministry of National Education.</w:t>
      </w:r>
      <w:r>
        <w:t xml:space="preserve"> </w:t>
      </w:r>
    </w:p>
    <w:p>
      <w:pPr>
        <w:pStyle w:val="BodyText"/>
      </w:pPr>
      <w:r>
        <w:t xml:space="preserve">This foundational document outlines the strategic framework for Moroccan education reform. For the</w:t>
      </w:r>
      <w:r>
        <w:t xml:space="preserve"> </w:t>
      </w:r>
      <w:r>
        <w:rPr>
          <w:bCs/>
          <w:b/>
        </w:rPr>
        <w:t xml:space="preserve">Secondary Teacher</w:t>
      </w:r>
      <w:r>
        <w:t xml:space="preserve">, it is essential reading as it details the shift from a knowledge-based curriculum to a competency-based approach. The text provides specific directives on how teachers in</w:t>
      </w:r>
      <w:r>
        <w:t xml:space="preserve"> </w:t>
      </w:r>
      <w:r>
        <w:rPr>
          <w:bCs/>
          <w:b/>
        </w:rPr>
        <w:t xml:space="preserve">Morocco</w:t>
      </w:r>
      <w:r>
        <w:t xml:space="preserve"> </w:t>
      </w:r>
      <w:r>
        <w:t xml:space="preserve">must adapt their assessment methods and classroom management styles. While national in scope, the document acknowledges the need for regional adaptation, making it relevant for educators in</w:t>
      </w:r>
      <w:r>
        <w:t xml:space="preserve"> </w:t>
      </w:r>
      <w:r>
        <w:rPr>
          <w:bCs/>
          <w:b/>
        </w:rPr>
        <w:t xml:space="preserve">Casablanca</w:t>
      </w:r>
      <w:r>
        <w:t xml:space="preserve"> </w:t>
      </w:r>
      <w:r>
        <w:t xml:space="preserve">who must align their practices with national standards while addressing the specific needs of urban students.</w:t>
      </w:r>
    </w:p>
    <w:p>
      <w:pPr>
        <w:pStyle w:val="BodyText"/>
      </w:pPr>
      <w:r>
        <w:t xml:space="preserve"> </w:t>
      </w:r>
      <w:r>
        <w:t xml:space="preserve">Bouzoubaa, M. (2020). "Digital Literacy and the Moroccan Classroom: A Case Study of Casablanca High Schools."</w:t>
      </w:r>
      <w:r>
        <w:t xml:space="preserve"> </w:t>
      </w:r>
      <w:r>
        <w:rPr>
          <w:iCs/>
          <w:i/>
        </w:rPr>
        <w:t xml:space="preserve">Journal of North African Education</w:t>
      </w:r>
      <w:r>
        <w:t xml:space="preserve">, 12(3), 45-62.</w:t>
      </w:r>
      <w:r>
        <w:t xml:space="preserve"> </w:t>
      </w:r>
    </w:p>
    <w:p>
      <w:pPr>
        <w:pStyle w:val="BodyText"/>
      </w:pPr>
      <w:r>
        <w:t xml:space="preserve">Bouzoubaa’s research offers a critical analysis of the integration of Information and Communication Technologies (ICT) in secondary schools within</w:t>
      </w:r>
      <w:r>
        <w:t xml:space="preserve"> </w:t>
      </w:r>
      <w:r>
        <w:rPr>
          <w:bCs/>
          <w:b/>
        </w:rPr>
        <w:t xml:space="preserve">Casablanca</w:t>
      </w:r>
      <w:r>
        <w:t xml:space="preserve">. The study highlights the disparity between the technological infrastructure available in private versus public institutions in the city. For the</w:t>
      </w:r>
      <w:r>
        <w:t xml:space="preserve"> </w:t>
      </w:r>
      <w:r>
        <w:rPr>
          <w:bCs/>
          <w:b/>
        </w:rPr>
        <w:t xml:space="preserve">Secondary Teacher</w:t>
      </w:r>
      <w:r>
        <w:t xml:space="preserve">, this article provides practical insights into leveraging limited digital resources to enhance student engagement. It specifically addresses the challenges of training teachers in</w:t>
      </w:r>
      <w:r>
        <w:t xml:space="preserve"> </w:t>
      </w:r>
      <w:r>
        <w:rPr>
          <w:bCs/>
          <w:b/>
        </w:rPr>
        <w:t xml:space="preserve">Morocco</w:t>
      </w:r>
      <w:r>
        <w:t xml:space="preserve"> </w:t>
      </w:r>
      <w:r>
        <w:t xml:space="preserve">to use digital tools effectively, offering a roadmap for professional development that is directly applicable to the urban educational context.</w:t>
      </w:r>
    </w:p>
    <w:p>
      <w:pPr>
        <w:pStyle w:val="BodyText"/>
      </w:pPr>
      <w:r>
        <w:t xml:space="preserve"> </w:t>
      </w:r>
      <w:r>
        <w:t xml:space="preserve">El Fassi, A. (2018).</w:t>
      </w:r>
      <w:r>
        <w:t xml:space="preserve"> </w:t>
      </w:r>
      <w:r>
        <w:rPr>
          <w:iCs/>
          <w:i/>
        </w:rPr>
        <w:t xml:space="preserve">Language Policy and Practice in Moroccan Secondary Education</w:t>
      </w:r>
      <w:r>
        <w:t xml:space="preserve">. Casablanca: Dar Al-Maarifa.</w:t>
      </w:r>
      <w:r>
        <w:t xml:space="preserve"> </w:t>
      </w:r>
    </w:p>
    <w:p>
      <w:pPr>
        <w:pStyle w:val="BodyText"/>
      </w:pPr>
      <w:r>
        <w:t xml:space="preserve">Language is a central issue for the</w:t>
      </w:r>
      <w:r>
        <w:t xml:space="preserve"> </w:t>
      </w:r>
      <w:r>
        <w:rPr>
          <w:bCs/>
          <w:b/>
        </w:rPr>
        <w:t xml:space="preserve">Secondary Teacher</w:t>
      </w:r>
      <w:r>
        <w:t xml:space="preserve"> </w:t>
      </w:r>
      <w:r>
        <w:t xml:space="preserve">in</w:t>
      </w:r>
      <w:r>
        <w:t xml:space="preserve"> </w:t>
      </w:r>
      <w:r>
        <w:rPr>
          <w:bCs/>
          <w:b/>
        </w:rPr>
        <w:t xml:space="preserve">Morocco</w:t>
      </w:r>
      <w:r>
        <w:t xml:space="preserve">, particularly in</w:t>
      </w:r>
      <w:r>
        <w:t xml:space="preserve"> </w:t>
      </w:r>
      <w:r>
        <w:rPr>
          <w:bCs/>
          <w:b/>
        </w:rPr>
        <w:t xml:space="preserve">Casablanca</w:t>
      </w:r>
      <w:r>
        <w:t xml:space="preserve">, where students navigate a complex linguistic landscape involving Darija, Modern Standard Arabic, French, and increasingly, English. El Fassi examines the impact of language policy on student comprehension and academic success. The book argues that teachers must adopt translanguaging strategies to bridge the gap between students' home languages and the languages of instruction. This resource is invaluable for educators seeking to improve pedagogical effectiveness in multilingual classrooms.</w:t>
      </w:r>
    </w:p>
    <w:p>
      <w:pPr>
        <w:pStyle w:val="BodyText"/>
      </w:pPr>
      <w:r>
        <w:t xml:space="preserve"> </w:t>
      </w:r>
      <w:r>
        <w:t xml:space="preserve">World Bank. (2021).</w:t>
      </w:r>
      <w:r>
        <w:t xml:space="preserve"> </w:t>
      </w:r>
      <w:r>
        <w:rPr>
          <w:iCs/>
          <w:i/>
        </w:rPr>
        <w:t xml:space="preserve">Morocco: Learning for All – Improving Quality and Equity in Education</w:t>
      </w:r>
      <w:r>
        <w:t xml:space="preserve">. Washington, DC: World Bank Group.</w:t>
      </w:r>
      <w:r>
        <w:t xml:space="preserve"> </w:t>
      </w:r>
    </w:p>
    <w:p>
      <w:pPr>
        <w:pStyle w:val="BodyText"/>
      </w:pPr>
      <w:r>
        <w:t xml:space="preserve">This report provides a macro-level analysis of the Moroccan education system, with specific data points regarding the Grand Casablanca region. It highlights issues related to equity, dropout rates, and learning outcomes in secondary education. For the</w:t>
      </w:r>
      <w:r>
        <w:t xml:space="preserve"> </w:t>
      </w:r>
      <w:r>
        <w:rPr>
          <w:bCs/>
          <w:b/>
        </w:rPr>
        <w:t xml:space="preserve">Secondary Teacher</w:t>
      </w:r>
      <w:r>
        <w:t xml:space="preserve">, understanding these systemic challenges is crucial for contextualizing student performance. The report emphasizes the need for inclusive teaching practices that support students from diverse socio-economic backgrounds, a reality that is particularly pronounced in the varied neighborhoods of</w:t>
      </w:r>
      <w:r>
        <w:t xml:space="preserve"> </w:t>
      </w:r>
      <w:r>
        <w:rPr>
          <w:bCs/>
          <w:b/>
        </w:rPr>
        <w:t xml:space="preserve">Casablanca</w:t>
      </w:r>
      <w:r>
        <w:t xml:space="preserve">.</w:t>
      </w:r>
    </w:p>
    <w:p>
      <w:pPr>
        <w:pStyle w:val="BodyText"/>
      </w:pPr>
      <w:r>
        <w:t xml:space="preserve"> </w:t>
      </w:r>
      <w:r>
        <w:t xml:space="preserve">Haddad, S. (2022). "Student Motivation and Urban Stressors: A Study of Secondary Students in Casablanca."</w:t>
      </w:r>
      <w:r>
        <w:t xml:space="preserve"> </w:t>
      </w:r>
      <w:r>
        <w:rPr>
          <w:iCs/>
          <w:i/>
        </w:rPr>
        <w:t xml:space="preserve">International Journal of Educational Psychology</w:t>
      </w:r>
      <w:r>
        <w:t xml:space="preserve">, 11(2), 112-130.</w:t>
      </w:r>
      <w:r>
        <w:t xml:space="preserve"> </w:t>
      </w:r>
    </w:p>
    <w:p>
      <w:pPr>
        <w:pStyle w:val="BodyText"/>
      </w:pPr>
      <w:r>
        <w:t xml:space="preserve">Haddad’s study investigates the psychological and social factors affecting secondary students in</w:t>
      </w:r>
      <w:r>
        <w:t xml:space="preserve"> </w:t>
      </w:r>
      <w:r>
        <w:rPr>
          <w:bCs/>
          <w:b/>
        </w:rPr>
        <w:t xml:space="preserve">Casablanca</w:t>
      </w:r>
      <w:r>
        <w:t xml:space="preserve">. The research identifies urban stressors, such as overcrowding and economic pressure, as significant barriers to learning. For the</w:t>
      </w:r>
      <w:r>
        <w:t xml:space="preserve"> </w:t>
      </w:r>
      <w:r>
        <w:rPr>
          <w:bCs/>
          <w:b/>
        </w:rPr>
        <w:t xml:space="preserve">Secondary Teacher</w:t>
      </w:r>
      <w:r>
        <w:t xml:space="preserve">, this article underscores the importance of adopting a holistic approach to education that considers students' well-being. It offers strategies for creating a supportive classroom environment that can mitigate the negative effects of urban stressors on academic performance.</w:t>
      </w:r>
    </w:p>
    <w:p>
      <w:pPr>
        <w:pStyle w:val="BodyText"/>
      </w:pPr>
      <w:r>
        <w:t xml:space="preserve"> </w:t>
      </w:r>
      <w:r>
        <w:t xml:space="preserve">National Center for Pedagogical Research (CNREF). (2020).</w:t>
      </w:r>
      <w:r>
        <w:t xml:space="preserve"> </w:t>
      </w:r>
      <w:r>
        <w:rPr>
          <w:iCs/>
          <w:i/>
        </w:rPr>
        <w:t xml:space="preserve">Guidelines for Competency-Based Teaching in Secondary Schools</w:t>
      </w:r>
      <w:r>
        <w:t xml:space="preserve">. Rabat: CNREF.</w:t>
      </w:r>
      <w:r>
        <w:t xml:space="preserve"> </w:t>
      </w:r>
    </w:p>
    <w:p>
      <w:pPr>
        <w:pStyle w:val="BodyText"/>
      </w:pPr>
      <w:r>
        <w:t xml:space="preserve">Published by the official pedagogical body of</w:t>
      </w:r>
      <w:r>
        <w:t xml:space="preserve"> </w:t>
      </w:r>
      <w:r>
        <w:rPr>
          <w:bCs/>
          <w:b/>
        </w:rPr>
        <w:t xml:space="preserve">Morocco</w:t>
      </w:r>
      <w:r>
        <w:t xml:space="preserve">, this manual provides concrete methodologies for implementing competency-based teaching. It includes lesson plan templates, assessment rubrics, and examples of active learning strategies. For the</w:t>
      </w:r>
      <w:r>
        <w:t xml:space="preserve"> </w:t>
      </w:r>
      <w:r>
        <w:rPr>
          <w:bCs/>
          <w:b/>
        </w:rPr>
        <w:t xml:space="preserve">Secondary Teacher</w:t>
      </w:r>
      <w:r>
        <w:t xml:space="preserve"> </w:t>
      </w:r>
      <w:r>
        <w:t xml:space="preserve">in</w:t>
      </w:r>
      <w:r>
        <w:t xml:space="preserve"> </w:t>
      </w:r>
      <w:r>
        <w:rPr>
          <w:bCs/>
          <w:b/>
        </w:rPr>
        <w:t xml:space="preserve">Casablanca</w:t>
      </w:r>
      <w:r>
        <w:t xml:space="preserve">, this resource serves as a practical toolkit for aligning daily instruction with national curriculum standards. It is particularly useful for teachers transitioning from traditional lecture-based methods to more student-centered approaches.</w:t>
      </w:r>
    </w:p>
    <w:p>
      <w:pPr>
        <w:pStyle w:val="BodyText"/>
      </w:pPr>
      <w:r>
        <w:t xml:space="preserve"> </w:t>
      </w:r>
      <w:r>
        <w:t xml:space="preserve">Benhassine, T. (2019). "The Role of the Teacher in Social Cohesion: Perspectives from Casablanca’s Public Schools."</w:t>
      </w:r>
      <w:r>
        <w:t xml:space="preserve"> </w:t>
      </w:r>
      <w:r>
        <w:rPr>
          <w:iCs/>
          <w:i/>
        </w:rPr>
        <w:t xml:space="preserve">Education and Society in the Middle East</w:t>
      </w:r>
      <w:r>
        <w:t xml:space="preserve">, 8(1), 78-95.</w:t>
      </w:r>
      <w:r>
        <w:t xml:space="preserve"> </w:t>
      </w:r>
    </w:p>
    <w:p>
      <w:pPr>
        <w:pStyle w:val="BodyText"/>
      </w:pPr>
      <w:r>
        <w:t xml:space="preserve">Benhassine explores the broader social role of the</w:t>
      </w:r>
      <w:r>
        <w:t xml:space="preserve"> </w:t>
      </w:r>
      <w:r>
        <w:rPr>
          <w:bCs/>
          <w:b/>
        </w:rPr>
        <w:t xml:space="preserve">Secondary Teacher</w:t>
      </w:r>
      <w:r>
        <w:t xml:space="preserve"> </w:t>
      </w:r>
      <w:r>
        <w:t xml:space="preserve">in</w:t>
      </w:r>
      <w:r>
        <w:t xml:space="preserve"> </w:t>
      </w:r>
      <w:r>
        <w:rPr>
          <w:bCs/>
          <w:b/>
        </w:rPr>
        <w:t xml:space="preserve">Morocco</w:t>
      </w:r>
      <w:r>
        <w:t xml:space="preserve">, focusing on how schools in</w:t>
      </w:r>
      <w:r>
        <w:t xml:space="preserve"> </w:t>
      </w:r>
      <w:r>
        <w:rPr>
          <w:bCs/>
          <w:b/>
        </w:rPr>
        <w:t xml:space="preserve">Casablanca</w:t>
      </w:r>
      <w:r>
        <w:t xml:space="preserve"> </w:t>
      </w:r>
      <w:r>
        <w:t xml:space="preserve">contribute to social cohesion. The article discusses the challenges of teaching in diverse classrooms where students come from different cultural and religious backgrounds. It argues that teachers must be equipped with intercultural competencies to foster mutual respect and understanding among students. This resource is essential for educators who wish to contribute to the social fabric of their communities through their teaching practices.</w:t>
      </w:r>
    </w:p>
    <w:p>
      <w:pPr>
        <w:pStyle w:val="BodyText"/>
      </w:pPr>
      <w:r>
        <w:t xml:space="preserve"> </w:t>
      </w:r>
      <w:r>
        <w:t xml:space="preserve">UNESCO. (2021).</w:t>
      </w:r>
      <w:r>
        <w:t xml:space="preserve"> </w:t>
      </w:r>
      <w:r>
        <w:rPr>
          <w:iCs/>
          <w:i/>
        </w:rPr>
        <w:t xml:space="preserve">Global Education Monitoring Report: Non-State Actors in Education</w:t>
      </w:r>
      <w:r>
        <w:t xml:space="preserve">. Paris: UNESCO.</w:t>
      </w:r>
      <w:r>
        <w:t xml:space="preserve"> </w:t>
      </w:r>
    </w:p>
    <w:p>
      <w:pPr>
        <w:pStyle w:val="BodyText"/>
      </w:pPr>
      <w:r>
        <w:t xml:space="preserve">While a global report, this document includes a detailed case study on</w:t>
      </w:r>
      <w:r>
        <w:t xml:space="preserve"> </w:t>
      </w:r>
      <w:r>
        <w:rPr>
          <w:bCs/>
          <w:b/>
        </w:rPr>
        <w:t xml:space="preserve">Morocco</w:t>
      </w:r>
      <w:r>
        <w:t xml:space="preserve">, examining the impact of private and non-state actors on the education system. In</w:t>
      </w:r>
      <w:r>
        <w:t xml:space="preserve"> </w:t>
      </w:r>
      <w:r>
        <w:rPr>
          <w:bCs/>
          <w:b/>
        </w:rPr>
        <w:t xml:space="preserve">Casablanca</w:t>
      </w:r>
      <w:r>
        <w:t xml:space="preserve">, where the private sector plays a significant role in secondary education, this report provides valuable insights into the dynamics between public and private schools. For the</w:t>
      </w:r>
      <w:r>
        <w:t xml:space="preserve"> </w:t>
      </w:r>
      <w:r>
        <w:rPr>
          <w:bCs/>
          <w:b/>
        </w:rPr>
        <w:t xml:space="preserve">Secondary Teacher</w:t>
      </w:r>
      <w:r>
        <w:t xml:space="preserve">, understanding this landscape is crucial for navigating professional opportunities and understanding the broader educational ecosystem in which they operate.</w:t>
      </w:r>
    </w:p>
    <w:p>
      <w:pPr>
        <w:pStyle w:val="BodyText"/>
      </w:pPr>
      <w:r>
        <w:t xml:space="preserve">Document prepared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Casablanca, Morocco</dc:title>
  <dc:creator/>
  <dc:language>en</dc:language>
  <cp:keywords/>
  <dcterms:created xsi:type="dcterms:W3CDTF">2026-08-07T02:16:34Z</dcterms:created>
  <dcterms:modified xsi:type="dcterms:W3CDTF">2026-08-07T02:16:34Z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