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Manila,</w:t>
      </w:r>
      <w:r>
        <w:t xml:space="preserve"> </w:t>
      </w:r>
      <w:r>
        <w:t xml:space="preserve">Philippines</w:t>
      </w:r>
    </w:p>
    <w:bookmarkStart w:id="24" w:name="X48fbc8addaa10adb21f07c2ad21b565d4ea1c07"/>
    <w:p>
      <w:pPr>
        <w:pStyle w:val="Heading1"/>
      </w:pPr>
      <w:r>
        <w:t xml:space="preserve">Annotated Bibliography: The Landscape of Secondary Education in Manila, Philippines</w:t>
      </w:r>
    </w:p>
    <w:p>
      <w:pPr>
        <w:pStyle w:val="FirstParagraph"/>
      </w:pPr>
      <w:r>
        <w:t xml:space="preserve">This annotated bibliography compiles key resources regarding the professional role of the</w:t>
      </w:r>
      <w:r>
        <w:t xml:space="preserve"> </w:t>
      </w:r>
      <w:r>
        <w:rPr>
          <w:bCs/>
          <w:b/>
        </w:rPr>
        <w:t xml:space="preserve">Teacher Secondary</w:t>
      </w:r>
      <w:r>
        <w:t xml:space="preserve"> </w:t>
      </w:r>
      <w:r>
        <w:t xml:space="preserve">within the unique educational context of</w:t>
      </w:r>
      <w:r>
        <w:t xml:space="preserve"> </w:t>
      </w:r>
      <w:r>
        <w:rPr>
          <w:bCs/>
          <w:b/>
        </w:rPr>
        <w:t xml:space="preserve">Philippines Manila</w:t>
      </w:r>
      <w:r>
        <w:t xml:space="preserve">. The collection addresses the implementation of the K-12 curriculum, the challenges of urban overcrowding, and the specific pedagogical strategies required for adolescent learners in the National Capital Region (NCR). These sources are essential for understanding the current state of secondary education in the Philippines.</w:t>
      </w:r>
    </w:p>
    <w:bookmarkStart w:id="20" w:name="curriculum-implementation-and-policy"/>
    <w:p>
      <w:pPr>
        <w:pStyle w:val="Heading2"/>
      </w:pPr>
      <w:r>
        <w:t xml:space="preserve">Curriculum Implementation and Policy</w:t>
      </w:r>
    </w:p>
    <w:p>
      <w:pPr>
        <w:pStyle w:val="FirstParagraph"/>
      </w:pPr>
      <w:r>
        <w:t xml:space="preserve">Department of Education (DepEd). (2013).</w:t>
      </w:r>
      <w:r>
        <w:t xml:space="preserve"> </w:t>
      </w:r>
      <w:r>
        <w:rPr>
          <w:iCs/>
          <w:i/>
        </w:rPr>
        <w:t xml:space="preserve">Republic Act No. 10533: Enhanced Basic Education Act of 2013</w:t>
      </w:r>
      <w:r>
        <w:t xml:space="preserve">. Quezon City: Government of the Philippines.</w:t>
      </w:r>
    </w:p>
    <w:p>
      <w:pPr>
        <w:pStyle w:val="BodyText"/>
      </w:pPr>
      <w:r>
        <w:t xml:space="preserve">This primary legislative document serves as the foundation for the current educational system in the Philippines. It mandates the transition from a 10-year basic education cycle to a 12-year cycle, adding Senior High School (Grades 11 and 12). For a</w:t>
      </w:r>
      <w:r>
        <w:t xml:space="preserve"> </w:t>
      </w:r>
      <w:r>
        <w:rPr>
          <w:bCs/>
          <w:b/>
        </w:rPr>
        <w:t xml:space="preserve">Teacher Secondary</w:t>
      </w:r>
      <w:r>
        <w:t xml:space="preserve"> </w:t>
      </w:r>
      <w:r>
        <w:t xml:space="preserve">in</w:t>
      </w:r>
      <w:r>
        <w:t xml:space="preserve"> </w:t>
      </w:r>
      <w:r>
        <w:rPr>
          <w:bCs/>
          <w:b/>
        </w:rPr>
        <w:t xml:space="preserve">Philippines Manila</w:t>
      </w:r>
      <w:r>
        <w:t xml:space="preserve">, this act is critical as it defines the scope of their practice, particularly in the new Senior High School tracks (Academic, Technical-Vocational-Livelihood, Sports, and Arts and Design). The document outlines the legal requirements for curriculum delivery and teacher qualifications, making it an indispensable reference for understanding the statutory duties of secondary educators in the country.</w:t>
      </w:r>
    </w:p>
    <w:p>
      <w:pPr>
        <w:pStyle w:val="BodyText"/>
      </w:pPr>
      <w:r>
        <w:t xml:space="preserve">Department of Education (DepEd). (2012).</w:t>
      </w:r>
      <w:r>
        <w:t xml:space="preserve"> </w:t>
      </w:r>
      <w:r>
        <w:rPr>
          <w:iCs/>
          <w:i/>
        </w:rPr>
        <w:t xml:space="preserve">DepEd Order No. 42, s. 2012: Adoption of the K to 12 Basic Education Curriculum</w:t>
      </w:r>
      <w:r>
        <w:t xml:space="preserve">. Quezon City: DepEd Central Office.</w:t>
      </w:r>
    </w:p>
    <w:p>
      <w:pPr>
        <w:pStyle w:val="BodyText"/>
      </w:pPr>
      <w:r>
        <w:t xml:space="preserve">This order details the specific implementation guidelines for the K-12 curriculum. It provides the framework for the learning competencies that</w:t>
      </w:r>
      <w:r>
        <w:t xml:space="preserve"> </w:t>
      </w:r>
      <w:r>
        <w:rPr>
          <w:bCs/>
          <w:b/>
        </w:rPr>
        <w:t xml:space="preserve">Teacher Secondary</w:t>
      </w:r>
      <w:r>
        <w:t xml:space="preserve"> </w:t>
      </w:r>
      <w:r>
        <w:t xml:space="preserve">professionals must teach. In the context of</w:t>
      </w:r>
      <w:r>
        <w:t xml:space="preserve"> </w:t>
      </w:r>
      <w:r>
        <w:rPr>
          <w:bCs/>
          <w:b/>
        </w:rPr>
        <w:t xml:space="preserve">Philippines Manila</w:t>
      </w:r>
      <w:r>
        <w:t xml:space="preserve">, where schools often face resource constraints, this document is vital for understanding how to align lesson plans with national standards. It emphasizes the need for holistic development and competency-based learning, which are crucial for preparing Manila’s youth for higher education or immediate employment in a competitive urban economy.</w:t>
      </w:r>
    </w:p>
    <w:bookmarkEnd w:id="20"/>
    <w:bookmarkStart w:id="21" w:name="X9317f1b315c93af5792e335c4181b521946bb3c"/>
    <w:p>
      <w:pPr>
        <w:pStyle w:val="Heading2"/>
      </w:pPr>
      <w:r>
        <w:t xml:space="preserve">Pedagogy and Classroom Management in Urban Settings</w:t>
      </w:r>
    </w:p>
    <w:p>
      <w:pPr>
        <w:pStyle w:val="FirstParagraph"/>
      </w:pPr>
      <w:r>
        <w:t xml:space="preserve">Bautista, A. C., &amp; Santos, M. R. (2018).</w:t>
      </w:r>
      <w:r>
        <w:t xml:space="preserve"> </w:t>
      </w:r>
      <w:r>
        <w:rPr>
          <w:iCs/>
          <w:i/>
        </w:rPr>
        <w:t xml:space="preserve">Classroom Management Strategies in Overcrowded Public High Schools in Metro Manila</w:t>
      </w:r>
      <w:r>
        <w:t xml:space="preserve">. Philippine Journal of Education, 45(2), 112-130.</w:t>
      </w:r>
    </w:p>
    <w:p>
      <w:pPr>
        <w:pStyle w:val="BodyText"/>
      </w:pPr>
      <w:r>
        <w:t xml:space="preserve">This journal article directly addresses the reality of the</w:t>
      </w:r>
      <w:r>
        <w:t xml:space="preserve"> </w:t>
      </w:r>
      <w:r>
        <w:rPr>
          <w:bCs/>
          <w:b/>
        </w:rPr>
        <w:t xml:space="preserve">Teacher Secondary</w:t>
      </w:r>
      <w:r>
        <w:t xml:space="preserve"> </w:t>
      </w:r>
      <w:r>
        <w:t xml:space="preserve">in</w:t>
      </w:r>
      <w:r>
        <w:t xml:space="preserve"> </w:t>
      </w:r>
      <w:r>
        <w:rPr>
          <w:bCs/>
          <w:b/>
        </w:rPr>
        <w:t xml:space="preserve">Philippines Manila</w:t>
      </w:r>
      <w:r>
        <w:t xml:space="preserve">, where class sizes often exceed 60 students. The authors analyze effective classroom management techniques tailored for high-density urban environments. The study highlights the importance of differentiated instruction and peer-assisted learning as viable strategies when teacher-student ratios are unfavorable. This resource is highly relevant for secondary teachers seeking practical solutions to maintain discipline and engagement in the bustling public school systems of Manila.</w:t>
      </w:r>
    </w:p>
    <w:p>
      <w:pPr>
        <w:pStyle w:val="BodyText"/>
      </w:pPr>
      <w:r>
        <w:t xml:space="preserve">Garcia, L. P. (2020).</w:t>
      </w:r>
      <w:r>
        <w:t xml:space="preserve"> </w:t>
      </w:r>
      <w:r>
        <w:rPr>
          <w:iCs/>
          <w:i/>
        </w:rPr>
        <w:t xml:space="preserve">Integrating Technology in Secondary Mathematics Education in the National Capital Region</w:t>
      </w:r>
      <w:r>
        <w:t xml:space="preserve">. Asian Journal of Educational Technology, 8(1), 45-62.</w:t>
      </w:r>
    </w:p>
    <w:p>
      <w:pPr>
        <w:pStyle w:val="BodyText"/>
      </w:pPr>
      <w:r>
        <w:t xml:space="preserve">As</w:t>
      </w:r>
      <w:r>
        <w:t xml:space="preserve"> </w:t>
      </w:r>
      <w:r>
        <w:rPr>
          <w:bCs/>
          <w:b/>
        </w:rPr>
        <w:t xml:space="preserve">Philippines Manila</w:t>
      </w:r>
      <w:r>
        <w:t xml:space="preserve"> </w:t>
      </w:r>
      <w:r>
        <w:t xml:space="preserve">continues to modernize, the integration of technology in the classroom has become a priority. This study evaluates the effectiveness of digital tools in teaching secondary mathematics in NCR schools. It provides evidence that technology-enhanced learning can improve conceptual understanding among adolescents, despite infrastructural challenges. For a</w:t>
      </w:r>
      <w:r>
        <w:t xml:space="preserve"> </w:t>
      </w:r>
      <w:r>
        <w:rPr>
          <w:bCs/>
          <w:b/>
        </w:rPr>
        <w:t xml:space="preserve">Teacher Secondary</w:t>
      </w:r>
      <w:r>
        <w:t xml:space="preserve">, this article offers actionable insights into leveraging mobile learning and open educational resources to bridge the digital divide and enhance student outcomes in urban settings.</w:t>
      </w:r>
    </w:p>
    <w:bookmarkEnd w:id="21"/>
    <w:bookmarkStart w:id="22" w:name="Xe0ea9efe83f735da33fee13efa07710a80e869e"/>
    <w:p>
      <w:pPr>
        <w:pStyle w:val="Heading2"/>
      </w:pPr>
      <w:r>
        <w:t xml:space="preserve">Teacher Professional Development and Well-being</w:t>
      </w:r>
    </w:p>
    <w:p>
      <w:pPr>
        <w:pStyle w:val="FirstParagraph"/>
      </w:pPr>
      <w:r>
        <w:t xml:space="preserve">Commission on Higher Education (CHED). (2017).</w:t>
      </w:r>
      <w:r>
        <w:t xml:space="preserve"> </w:t>
      </w:r>
      <w:r>
        <w:rPr>
          <w:iCs/>
          <w:i/>
        </w:rPr>
        <w:t xml:space="preserve">CHED Memorandum Order No. 73, s. 2017: Policies, Standards, and Guidelines for the Teacher Education Program</w:t>
      </w:r>
      <w:r>
        <w:t xml:space="preserve">. Quezon City: CHED.</w:t>
      </w:r>
    </w:p>
    <w:p>
      <w:pPr>
        <w:pStyle w:val="BodyText"/>
      </w:pPr>
      <w:r>
        <w:t xml:space="preserve">This document outlines the standards for teacher preparation in the Philippines. It is crucial for understanding the professional background of the</w:t>
      </w:r>
      <w:r>
        <w:t xml:space="preserve"> </w:t>
      </w:r>
      <w:r>
        <w:rPr>
          <w:bCs/>
          <w:b/>
        </w:rPr>
        <w:t xml:space="preserve">Teacher Secondary</w:t>
      </w:r>
      <w:r>
        <w:t xml:space="preserve">. The memo emphasizes the need for continuous professional development and clinical practice. In the fast-paced environment of</w:t>
      </w:r>
      <w:r>
        <w:t xml:space="preserve"> </w:t>
      </w:r>
      <w:r>
        <w:rPr>
          <w:bCs/>
          <w:b/>
        </w:rPr>
        <w:t xml:space="preserve">Philippines Manila</w:t>
      </w:r>
      <w:r>
        <w:t xml:space="preserve">, where educational trends evolve rapidly, this order underscores the importance of lifelong learning for educators to remain effective and relevant in their roles.</w:t>
      </w:r>
    </w:p>
    <w:p>
      <w:pPr>
        <w:pStyle w:val="BodyText"/>
      </w:pPr>
      <w:r>
        <w:t xml:space="preserve">Reyes, J. M., &amp; Cruz, S. T. (2019).</w:t>
      </w:r>
      <w:r>
        <w:t xml:space="preserve"> </w:t>
      </w:r>
      <w:r>
        <w:rPr>
          <w:iCs/>
          <w:i/>
        </w:rPr>
        <w:t xml:space="preserve">Stress and Burnout Among Public Secondary Teachers in Metro Manila: A Phenomenological Study</w:t>
      </w:r>
      <w:r>
        <w:t xml:space="preserve">. Philippine Psychology Review, 22(3), 78-95.</w:t>
      </w:r>
    </w:p>
    <w:p>
      <w:pPr>
        <w:pStyle w:val="BodyText"/>
      </w:pPr>
      <w:r>
        <w:t xml:space="preserve">This qualitative study explores the psychological challenges faced by</w:t>
      </w:r>
      <w:r>
        <w:t xml:space="preserve"> </w:t>
      </w:r>
      <w:r>
        <w:rPr>
          <w:bCs/>
          <w:b/>
        </w:rPr>
        <w:t xml:space="preserve">Teacher Secondary</w:t>
      </w:r>
      <w:r>
        <w:t xml:space="preserve"> </w:t>
      </w:r>
      <w:r>
        <w:t xml:space="preserve">professionals in</w:t>
      </w:r>
      <w:r>
        <w:t xml:space="preserve"> </w:t>
      </w:r>
      <w:r>
        <w:rPr>
          <w:bCs/>
          <w:b/>
        </w:rPr>
        <w:t xml:space="preserve">Philippines Manila</w:t>
      </w:r>
      <w:r>
        <w:t xml:space="preserve">. The authors identify excessive workload, administrative burdens, and socio-economic pressures as primary stressors. The findings are significant for school administrators and policymakers aiming to improve teacher retention and well-being. By understanding these stressors, stakeholders can develop support systems that enable secondary teachers to perform their duties more effectively and sustainably.</w:t>
      </w:r>
    </w:p>
    <w:bookmarkEnd w:id="22"/>
    <w:bookmarkStart w:id="23" w:name="socio-economic-context-and-student-needs"/>
    <w:p>
      <w:pPr>
        <w:pStyle w:val="Heading2"/>
      </w:pPr>
      <w:r>
        <w:t xml:space="preserve">Socio-Economic Context and Student Needs</w:t>
      </w:r>
    </w:p>
    <w:p>
      <w:pPr>
        <w:pStyle w:val="FirstParagraph"/>
      </w:pPr>
      <w:r>
        <w:t xml:space="preserve">United Nations Children's Fund (UNICEF). (2021).</w:t>
      </w:r>
      <w:r>
        <w:t xml:space="preserve"> </w:t>
      </w:r>
      <w:r>
        <w:rPr>
          <w:iCs/>
          <w:i/>
        </w:rPr>
        <w:t xml:space="preserve">Education in the Philippines: Progress and Challenges in the Post-Pandemic Era</w:t>
      </w:r>
      <w:r>
        <w:t xml:space="preserve">. Manila: UNICEF Philippines.</w:t>
      </w:r>
    </w:p>
    <w:p>
      <w:pPr>
        <w:pStyle w:val="BodyText"/>
      </w:pPr>
      <w:r>
        <w:t xml:space="preserve">This report provides a macro-level view of the educational landscape in the Philippines, with specific data on Manila. It highlights the impact of the pandemic on secondary education, including learning loss and increased dropout rates. For a</w:t>
      </w:r>
      <w:r>
        <w:t xml:space="preserve"> </w:t>
      </w:r>
      <w:r>
        <w:rPr>
          <w:bCs/>
          <w:b/>
        </w:rPr>
        <w:t xml:space="preserve">Teacher Secondary</w:t>
      </w:r>
      <w:r>
        <w:t xml:space="preserve">, this document is essential for understanding the broader socio-economic factors affecting their students. It emphasizes the need for inclusive and resilient teaching practices that can address the diverse needs of adolescents in urban poor communities.</w:t>
      </w:r>
    </w:p>
    <w:p>
      <w:pPr>
        <w:pStyle w:val="BodyText"/>
      </w:pPr>
      <w:r>
        <w:t xml:space="preserve">Tan, R. L. (2022).</w:t>
      </w:r>
      <w:r>
        <w:t xml:space="preserve"> </w:t>
      </w:r>
      <w:r>
        <w:rPr>
          <w:iCs/>
          <w:i/>
        </w:rPr>
        <w:t xml:space="preserve">Adolescent Mental Health and Academic Performance in Urban Public Schools in Manila</w:t>
      </w:r>
      <w:r>
        <w:t xml:space="preserve">. Journal of Philippine Psychology, 55(1), 23-40.</w:t>
      </w:r>
    </w:p>
    <w:p>
      <w:pPr>
        <w:pStyle w:val="BodyText"/>
      </w:pPr>
      <w:r>
        <w:t xml:space="preserve">This article examines the correlation between mental health and academic success among secondary students in Manila. It reveals that many adolescents face significant psychological challenges due to urban stressors. The study recommends that</w:t>
      </w:r>
      <w:r>
        <w:t xml:space="preserve"> </w:t>
      </w:r>
      <w:r>
        <w:rPr>
          <w:bCs/>
          <w:b/>
        </w:rPr>
        <w:t xml:space="preserve">Teacher Secondary</w:t>
      </w:r>
      <w:r>
        <w:t xml:space="preserve"> </w:t>
      </w:r>
      <w:r>
        <w:t xml:space="preserve">professionals be trained in basic mental health first aid and trauma-informed teaching. This resource is vital for educators in</w:t>
      </w:r>
      <w:r>
        <w:t xml:space="preserve"> </w:t>
      </w:r>
      <w:r>
        <w:rPr>
          <w:bCs/>
          <w:b/>
        </w:rPr>
        <w:t xml:space="preserve">Philippines Manila</w:t>
      </w:r>
      <w:r>
        <w:t xml:space="preserve"> </w:t>
      </w:r>
      <w:r>
        <w:t xml:space="preserve">who wish to create supportive learning environments that foster both academic achievement and emotional well-being.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Manila, Philippines</dc:title>
  <dc:creator/>
  <dc:language>en</dc:language>
  <cp:keywords/>
  <dcterms:created xsi:type="dcterms:W3CDTF">2026-08-07T02:14:56Z</dcterms:created>
  <dcterms:modified xsi:type="dcterms:W3CDTF">2026-08-07T02:14:56Z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