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250fa8b995f18939a6984cb6a1ddcfe94abf217"/>
    <w:p>
      <w:pPr>
        <w:pStyle w:val="Heading1"/>
      </w:pPr>
      <w:r>
        <w:t xml:space="preserve">Annotated Bibliography: The Landscape of Secondary Teacher Education and Practice in Cape Town, South Africa</w:t>
      </w:r>
    </w:p>
    <w:p>
      <w:pPr>
        <w:pStyle w:val="FirstParagraph"/>
      </w:pPr>
      <w:r>
        <w:t xml:space="preserve">This annotated bibliography compiles critical literature regarding the role, training, and challenges of the</w:t>
      </w:r>
      <w:r>
        <w:t xml:space="preserve"> </w:t>
      </w:r>
      <w:r>
        <w:rPr>
          <w:bCs/>
          <w:b/>
        </w:rPr>
        <w:t xml:space="preserve">Secondary Teacher</w:t>
      </w:r>
      <w:r>
        <w:t xml:space="preserve"> </w:t>
      </w:r>
      <w:r>
        <w:t xml:space="preserve">within the specific socio-economic and educational context of</w:t>
      </w:r>
      <w:r>
        <w:t xml:space="preserve"> </w:t>
      </w:r>
      <w:r>
        <w:rPr>
          <w:bCs/>
          <w:b/>
        </w:rPr>
        <w:t xml:space="preserve">Cape Town, South Africa</w:t>
      </w:r>
      <w:r>
        <w:t xml:space="preserve">. The selected sources address the dual nature of the city's education system, the impact of historical inequalities on current classroom dynamics, and the evolving pedagogical requirements for educators in the Western Cape province. These resources are essential for understanding how secondary education in this region navigates the tension between policy reform and on-the-ground reality.</w:t>
      </w:r>
    </w:p>
    <w:bookmarkStart w:id="20" w:name="policy-history-and-the-dual-system"/>
    <w:p>
      <w:pPr>
        <w:pStyle w:val="Heading2"/>
      </w:pPr>
      <w:r>
        <w:t xml:space="preserve">Policy, History, and the Dual System</w:t>
      </w:r>
    </w:p>
    <w:p>
      <w:pPr>
        <w:pStyle w:val="FirstParagraph"/>
      </w:pPr>
      <w:r>
        <w:t xml:space="preserve">Taylor, N., &amp; Vinjevold, P. (Eds.). (1999).</w:t>
      </w:r>
      <w:r>
        <w:t xml:space="preserve"> </w:t>
      </w:r>
      <w:r>
        <w:rPr>
          <w:iCs/>
          <w:i/>
        </w:rPr>
        <w:t xml:space="preserve">Through a Glass Darkly: Education in South Africa</w:t>
      </w:r>
      <w:r>
        <w:t xml:space="preserve">. Juta and Company Ltd.</w:t>
      </w:r>
    </w:p>
    <w:p>
      <w:pPr>
        <w:pStyle w:val="BodyText"/>
      </w:pPr>
      <w:r>
        <w:t xml:space="preserve">Although published prior to the current decade, this foundational text remains indispensable for understanding the structural legacy affecting the</w:t>
      </w:r>
      <w:r>
        <w:t xml:space="preserve"> </w:t>
      </w:r>
      <w:r>
        <w:rPr>
          <w:bCs/>
          <w:b/>
        </w:rPr>
        <w:t xml:space="preserve">Secondary Teacher</w:t>
      </w:r>
      <w:r>
        <w:t xml:space="preserve"> </w:t>
      </w:r>
      <w:r>
        <w:t xml:space="preserve">in</w:t>
      </w:r>
      <w:r>
        <w:t xml:space="preserve"> </w:t>
      </w:r>
      <w:r>
        <w:rPr>
          <w:bCs/>
          <w:b/>
        </w:rPr>
        <w:t xml:space="preserve">South Africa</w:t>
      </w:r>
      <w:r>
        <w:t xml:space="preserve">. Taylor and Vinjevold provide a comprehensive analysis of the transition from apartheid-era education to the post-1994 democratic system. For educators in</w:t>
      </w:r>
      <w:r>
        <w:t xml:space="preserve"> </w:t>
      </w:r>
      <w:r>
        <w:rPr>
          <w:bCs/>
          <w:b/>
        </w:rPr>
        <w:t xml:space="preserve">Cape Town</w:t>
      </w:r>
      <w:r>
        <w:t xml:space="preserve">, this work elucidates the origins of the "dual system"—the stark divide between well-resourced former Model C schools and under-resourced township schools. The authors argue that without addressing these historical material inequalities, pedagogical reforms will fail. This source is crucial for secondary teachers to contextualize the socio-economic disparities they encounter daily in classrooms across the Cape Flats and the Southern Suburbs.</w:t>
      </w:r>
    </w:p>
    <w:p>
      <w:pPr>
        <w:pStyle w:val="BodyText"/>
      </w:pPr>
      <w:r>
        <w:t xml:space="preserve">Motala, S. (2013). "The Politics of Education in South Africa: A Critical Review."</w:t>
      </w:r>
      <w:r>
        <w:t xml:space="preserve"> </w:t>
      </w:r>
      <w:r>
        <w:rPr>
          <w:iCs/>
          <w:i/>
        </w:rPr>
        <w:t xml:space="preserve">South African Journal of Education</w:t>
      </w:r>
      <w:r>
        <w:t xml:space="preserve">, 33(2), 1-12.</w:t>
      </w:r>
    </w:p>
    <w:p>
      <w:pPr>
        <w:pStyle w:val="BodyText"/>
      </w:pPr>
      <w:r>
        <w:t xml:space="preserve">Motala’s article offers a critical review of education policy implementation, specifically focusing on the gap between national curriculum intentions and classroom realities. In the context of</w:t>
      </w:r>
      <w:r>
        <w:t xml:space="preserve"> </w:t>
      </w:r>
      <w:r>
        <w:rPr>
          <w:bCs/>
          <w:b/>
        </w:rPr>
        <w:t xml:space="preserve">Cape Town</w:t>
      </w:r>
      <w:r>
        <w:t xml:space="preserve">, where the Western Cape Education Department (WCED) often operates with a degree of autonomy, this text is highly relevant. It discusses how the</w:t>
      </w:r>
      <w:r>
        <w:t xml:space="preserve"> </w:t>
      </w:r>
      <w:r>
        <w:rPr>
          <w:bCs/>
          <w:b/>
        </w:rPr>
        <w:t xml:space="preserve">Secondary Teacher</w:t>
      </w:r>
      <w:r>
        <w:t xml:space="preserve"> </w:t>
      </w:r>
      <w:r>
        <w:t xml:space="preserve">is often burdened with the implementation of complex policies like the Curriculum and Assessment Policy Statement (CAPS) without adequate support. The author highlights how political shifts influence resource allocation, directly impacting the working conditions of teachers in public secondary schools. This source is vital for understanding the political pressures that shape the professional environment of educators in the region.</w:t>
      </w:r>
    </w:p>
    <w:bookmarkEnd w:id="20"/>
    <w:bookmarkStart w:id="21" w:name="pedagogy-language-and-classroom-practice"/>
    <w:p>
      <w:pPr>
        <w:pStyle w:val="Heading2"/>
      </w:pPr>
      <w:r>
        <w:t xml:space="preserve">Pedagogy, Language, and Classroom Practice</w:t>
      </w:r>
    </w:p>
    <w:p>
      <w:pPr>
        <w:pStyle w:val="FirstParagraph"/>
      </w:pPr>
      <w:r>
        <w:t xml:space="preserve">Heugh, K., et al. (2017). "Language Policy and Practice in South African Schools."</w:t>
      </w:r>
      <w:r>
        <w:t xml:space="preserve"> </w:t>
      </w:r>
      <w:r>
        <w:rPr>
          <w:iCs/>
          <w:i/>
        </w:rPr>
        <w:t xml:space="preserve">Language and Education</w:t>
      </w:r>
      <w:r>
        <w:t xml:space="preserve">, 31(5), 389-405.</w:t>
      </w:r>
    </w:p>
    <w:p>
      <w:pPr>
        <w:pStyle w:val="BodyText"/>
      </w:pPr>
      <w:r>
        <w:t xml:space="preserve">Language is a pivotal issue for the</w:t>
      </w:r>
      <w:r>
        <w:t xml:space="preserve"> </w:t>
      </w:r>
      <w:r>
        <w:rPr>
          <w:bCs/>
          <w:b/>
        </w:rPr>
        <w:t xml:space="preserve">Secondary Teacher</w:t>
      </w:r>
      <w:r>
        <w:t xml:space="preserve"> </w:t>
      </w:r>
      <w:r>
        <w:t xml:space="preserve">in</w:t>
      </w:r>
      <w:r>
        <w:t xml:space="preserve"> </w:t>
      </w:r>
      <w:r>
        <w:rPr>
          <w:bCs/>
          <w:b/>
        </w:rPr>
        <w:t xml:space="preserve">Cape Town</w:t>
      </w:r>
      <w:r>
        <w:t xml:space="preserve">, a linguistically diverse city where English is the medium of instruction in most schools, yet many learners speak Afrikaans, isiXhosa, or other home languages. Heugh et al. examine the cognitive and social impacts of English-medium instruction on learners who are not fluent. The study suggests that teachers who ignore home languages risk alienating students and hindering conceptual understanding. For secondary educators in</w:t>
      </w:r>
      <w:r>
        <w:t xml:space="preserve"> </w:t>
      </w:r>
      <w:r>
        <w:rPr>
          <w:bCs/>
          <w:b/>
        </w:rPr>
        <w:t xml:space="preserve">South Africa</w:t>
      </w:r>
      <w:r>
        <w:t xml:space="preserve">, this article provides evidence-based strategies for code-switching and multilingual pedagogy. It is particularly useful for teachers in mixed-ability classrooms in Cape Town who must navigate the linguistic complexities of their student body to ensure equitable learning outcomes.</w:t>
      </w:r>
    </w:p>
    <w:p>
      <w:pPr>
        <w:pStyle w:val="BodyText"/>
      </w:pPr>
      <w:r>
        <w:t xml:space="preserve">Van der Westhuizen, D. (2019). "Teacher Agency and Curriculum Implementation in the Western Cape."</w:t>
      </w:r>
      <w:r>
        <w:t xml:space="preserve"> </w:t>
      </w:r>
      <w:r>
        <w:rPr>
          <w:iCs/>
          <w:i/>
        </w:rPr>
        <w:t xml:space="preserve">South African Journal of Education</w:t>
      </w:r>
      <w:r>
        <w:t xml:space="preserve">, 39(4), 1-10.</w:t>
      </w:r>
    </w:p>
    <w:p>
      <w:pPr>
        <w:pStyle w:val="BodyText"/>
      </w:pPr>
      <w:r>
        <w:t xml:space="preserve">This study focuses specifically on the Western Cape, making it directly applicable to</w:t>
      </w:r>
      <w:r>
        <w:t xml:space="preserve"> </w:t>
      </w:r>
      <w:r>
        <w:rPr>
          <w:bCs/>
          <w:b/>
        </w:rPr>
        <w:t xml:space="preserve">Cape Town</w:t>
      </w:r>
      <w:r>
        <w:t xml:space="preserve"> </w:t>
      </w:r>
      <w:r>
        <w:t xml:space="preserve">educators. Van der Westhuizen explores the concept of "teacher agency," investigating how</w:t>
      </w:r>
      <w:r>
        <w:t xml:space="preserve"> </w:t>
      </w:r>
      <w:r>
        <w:rPr>
          <w:bCs/>
          <w:b/>
        </w:rPr>
        <w:t xml:space="preserve">Secondary Teachers</w:t>
      </w:r>
      <w:r>
        <w:t xml:space="preserve"> </w:t>
      </w:r>
      <w:r>
        <w:t xml:space="preserve">interpret and adapt the national curriculum to fit their local contexts. The research reveals that while many teachers feel constrained by bureaucratic demands, those who exercise agency by adapting teaching methods to their specific community needs achieve better learner engagement. The article provides case studies from secondary schools in Cape Town, illustrating how teachers balance standardized testing requirements with the need for relevant, contextualized learning. This is a key resource for teachers seeking to empower themselves within the rigid structures of the South African education system.</w:t>
      </w:r>
    </w:p>
    <w:bookmarkEnd w:id="21"/>
    <w:bookmarkStart w:id="22" w:name="Xdd523670a5eaf2bcb92c3c1f3c1e99af90f49a6"/>
    <w:p>
      <w:pPr>
        <w:pStyle w:val="Heading2"/>
      </w:pPr>
      <w:r>
        <w:t xml:space="preserve">Socio-Economic Challenges and Community Context</w:t>
      </w:r>
    </w:p>
    <w:p>
      <w:pPr>
        <w:pStyle w:val="FirstParagraph"/>
      </w:pPr>
      <w:r>
        <w:t xml:space="preserve">Reddy, V. (2015). "The Impact of Poverty on Secondary Education in South Africa."</w:t>
      </w:r>
      <w:r>
        <w:t xml:space="preserve"> </w:t>
      </w:r>
      <w:r>
        <w:rPr>
          <w:iCs/>
          <w:i/>
        </w:rPr>
        <w:t xml:space="preserve">Journal of Education and Practice</w:t>
      </w:r>
      <w:r>
        <w:t xml:space="preserve">, 6(12), 45-52.</w:t>
      </w:r>
    </w:p>
    <w:p>
      <w:pPr>
        <w:pStyle w:val="BodyText"/>
      </w:pPr>
      <w:r>
        <w:t xml:space="preserve">Poverty is a defining characteristic of the educational landscape in many parts of</w:t>
      </w:r>
      <w:r>
        <w:t xml:space="preserve"> </w:t>
      </w:r>
      <w:r>
        <w:rPr>
          <w:bCs/>
          <w:b/>
        </w:rPr>
        <w:t xml:space="preserve">Cape Town</w:t>
      </w:r>
      <w:r>
        <w:t xml:space="preserve">, particularly in the Cape Flats. Reddy’s work analyzes how socio-economic factors such as food insecurity, housing instability, and lack of transport affect secondary school attendance and performance. The author argues that the</w:t>
      </w:r>
      <w:r>
        <w:t xml:space="preserve"> </w:t>
      </w:r>
      <w:r>
        <w:rPr>
          <w:bCs/>
          <w:b/>
        </w:rPr>
        <w:t xml:space="preserve">Secondary Teacher</w:t>
      </w:r>
      <w:r>
        <w:t xml:space="preserve"> </w:t>
      </w:r>
      <w:r>
        <w:t xml:space="preserve">in</w:t>
      </w:r>
      <w:r>
        <w:t xml:space="preserve"> </w:t>
      </w:r>
      <w:r>
        <w:rPr>
          <w:bCs/>
          <w:b/>
        </w:rPr>
        <w:t xml:space="preserve">South Africa</w:t>
      </w:r>
      <w:r>
        <w:t xml:space="preserve"> </w:t>
      </w:r>
      <w:r>
        <w:t xml:space="preserve">must adopt a holistic approach, acting not just as an instructor but as a social support figure. The article provides data on how poverty correlates with dropout rates in grades 10-12. For educators in under-resourced schools, this bibliography entry offers a framework for understanding the non-academic barriers their students face, advocating for school-community partnerships to mitigate these effects.</w:t>
      </w:r>
    </w:p>
    <w:p>
      <w:pPr>
        <w:pStyle w:val="BodyText"/>
      </w:pPr>
      <w:r>
        <w:t xml:space="preserve">Griesel, H., &amp; Nkosi, P. (2018). "Safety and Violence in South African Schools: Implications for Teaching."</w:t>
      </w:r>
      <w:r>
        <w:t xml:space="preserve"> </w:t>
      </w:r>
      <w:r>
        <w:rPr>
          <w:iCs/>
          <w:i/>
        </w:rPr>
        <w:t xml:space="preserve">South African Journal of Childhood Education</w:t>
      </w:r>
      <w:r>
        <w:t xml:space="preserve">, 8(1), 1-10.</w:t>
      </w:r>
    </w:p>
    <w:p>
      <w:pPr>
        <w:pStyle w:val="BodyText"/>
      </w:pPr>
      <w:r>
        <w:t xml:space="preserve">School safety is a pressing concern for</w:t>
      </w:r>
      <w:r>
        <w:t xml:space="preserve"> </w:t>
      </w:r>
      <w:r>
        <w:rPr>
          <w:bCs/>
          <w:b/>
        </w:rPr>
        <w:t xml:space="preserve">Secondary Teachers</w:t>
      </w:r>
      <w:r>
        <w:t xml:space="preserve"> </w:t>
      </w:r>
      <w:r>
        <w:t xml:space="preserve">in</w:t>
      </w:r>
      <w:r>
        <w:t xml:space="preserve"> </w:t>
      </w:r>
      <w:r>
        <w:rPr>
          <w:bCs/>
          <w:b/>
        </w:rPr>
        <w:t xml:space="preserve">Cape Town</w:t>
      </w:r>
      <w:r>
        <w:t xml:space="preserve">, where gang violence and substance abuse can infiltrate school environments. Griesel and Nkosi examine the psychological impact of violence on both learners and educators. The study highlights that teachers in high-risk areas often experience high levels of stress and burnout, which compromises their ability to teach effectively. The authors propose strategies for creating safe learning spaces and managing conflict within the school. This source is critical for secondary educators working in challenging environments, offering practical insights into maintaining a conducive learning atmosphere amidst external socio-political pressures.</w:t>
      </w:r>
    </w:p>
    <w:bookmarkEnd w:id="22"/>
    <w:bookmarkStart w:id="23" w:name="technology-and-future-directions"/>
    <w:p>
      <w:pPr>
        <w:pStyle w:val="Heading2"/>
      </w:pPr>
      <w:r>
        <w:t xml:space="preserve">Technology and Future Directions</w:t>
      </w:r>
    </w:p>
    <w:p>
      <w:pPr>
        <w:pStyle w:val="FirstParagraph"/>
      </w:pPr>
      <w:r>
        <w:t xml:space="preserve">Moyo, T. (2020). "Digital Divide and ICT Integration in South African Secondary Schools."</w:t>
      </w:r>
      <w:r>
        <w:t xml:space="preserve"> </w:t>
      </w:r>
      <w:r>
        <w:rPr>
          <w:iCs/>
          <w:i/>
        </w:rPr>
        <w:t xml:space="preserve">International Journal of Educational Development</w:t>
      </w:r>
      <w:r>
        <w:t xml:space="preserve">, 78, 102-110.</w:t>
      </w:r>
    </w:p>
    <w:p>
      <w:pPr>
        <w:pStyle w:val="BodyText"/>
      </w:pPr>
      <w:r>
        <w:t xml:space="preserve">As</w:t>
      </w:r>
      <w:r>
        <w:t xml:space="preserve"> </w:t>
      </w:r>
      <w:r>
        <w:rPr>
          <w:bCs/>
          <w:b/>
        </w:rPr>
        <w:t xml:space="preserve">Cape Town</w:t>
      </w:r>
      <w:r>
        <w:t xml:space="preserve"> </w:t>
      </w:r>
      <w:r>
        <w:t xml:space="preserve">strives to modernize its education sector, the integration of Information and Communication Technology (ICT) has become a priority. However, Moyo’s research highlights the persistent digital divide between affluent and impoverished schools in</w:t>
      </w:r>
      <w:r>
        <w:t xml:space="preserve"> </w:t>
      </w:r>
      <w:r>
        <w:rPr>
          <w:bCs/>
          <w:b/>
        </w:rPr>
        <w:t xml:space="preserve">South Africa</w:t>
      </w:r>
      <w:r>
        <w:t xml:space="preserve">. The article discusses how the</w:t>
      </w:r>
      <w:r>
        <w:t xml:space="preserve"> </w:t>
      </w:r>
      <w:r>
        <w:rPr>
          <w:bCs/>
          <w:b/>
        </w:rPr>
        <w:t xml:space="preserve">Secondary Teacher</w:t>
      </w:r>
      <w:r>
        <w:t xml:space="preserve"> </w:t>
      </w:r>
      <w:r>
        <w:t xml:space="preserve">is expected to facilitate digital learning despite inconsistent access to hardware and internet connectivity. Moyo argues for a more equitable distribution of resources and targeted teacher training in digital literacy. This source is essential for educators navigating the post-pandemic educational landscape, where remote learning tools have become increasingly relevant, yet remain inaccessible to many learners in the Western Cape.</w:t>
      </w:r>
    </w:p>
    <w:p>
      <w:pPr>
        <w:pStyle w:val="BodyText"/>
      </w:pPr>
      <w:r>
        <w:t xml:space="preserve">Department of Basic Education. (2011).</w:t>
      </w:r>
      <w:r>
        <w:t xml:space="preserve"> </w:t>
      </w:r>
      <w:r>
        <w:rPr>
          <w:iCs/>
          <w:i/>
        </w:rPr>
        <w:t xml:space="preserve">Curriculum and Assessment Policy Statement (CAPS): General</w:t>
      </w:r>
      <w:r>
        <w:t xml:space="preserve">. Pretoria: Government Printer.</w:t>
      </w:r>
    </w:p>
    <w:p>
      <w:pPr>
        <w:pStyle w:val="BodyText"/>
      </w:pPr>
      <w:r>
        <w:t xml:space="preserve">While a government document, the CAPS policy is the governing framework for every</w:t>
      </w:r>
      <w:r>
        <w:t xml:space="preserve"> </w:t>
      </w:r>
      <w:r>
        <w:rPr>
          <w:bCs/>
          <w:b/>
        </w:rPr>
        <w:t xml:space="preserve">Secondary Teacher</w:t>
      </w:r>
      <w:r>
        <w:t xml:space="preserve"> </w:t>
      </w:r>
      <w:r>
        <w:t xml:space="preserve">in</w:t>
      </w:r>
      <w:r>
        <w:t xml:space="preserve"> </w:t>
      </w:r>
      <w:r>
        <w:rPr>
          <w:bCs/>
          <w:b/>
        </w:rPr>
        <w:t xml:space="preserve">South Africa</w:t>
      </w:r>
      <w:r>
        <w:t xml:space="preserve">, including those in</w:t>
      </w:r>
      <w:r>
        <w:t xml:space="preserve"> </w:t>
      </w:r>
      <w:r>
        <w:rPr>
          <w:bCs/>
          <w:b/>
        </w:rPr>
        <w:t xml:space="preserve">Cape Town</w:t>
      </w:r>
      <w:r>
        <w:t xml:space="preserve">. This document outlines the content, assessment, and teaching methodologies required for all subjects from Grade 10 to 12. It is the primary reference for lesson planning and examination preparation. Understanding CAPS is non-negotiable for professional practice, as it dictates the standards against which both learners and teachers are evaluated. For this bibliography, it serves as the baseline against which all other critical analyses of the education system are measured, representing the official state expectation for secondary education delivery.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Cape Town, South Africa</dc:title>
  <dc:creator/>
  <dc:language>en</dc:language>
  <cp:keywords/>
  <dcterms:created xsi:type="dcterms:W3CDTF">2026-08-07T07:20:38Z</dcterms:created>
  <dcterms:modified xsi:type="dcterms:W3CDTF">2026-08-07T07:20:38Z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