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c28e8d01d30127972531177243fb8eee58f3b68"/>
    <w:p>
      <w:pPr>
        <w:pStyle w:val="Heading1"/>
      </w:pPr>
      <w:r>
        <w:t xml:space="preserve">Annotated Bibliography: Telecommunication Engineering in Saint Petersburg, Russia</w:t>
      </w:r>
    </w:p>
    <w:p>
      <w:pPr>
        <w:pStyle w:val="FirstParagraph"/>
      </w:pPr>
      <w:r>
        <w:t xml:space="preserve">The following annotated bibliography compiles essential resources regarding the role, requirements, and technological landscape of the Telecommunication Engineer within the specific context of Saint Petersburg, Russia. This collection addresses regulatory frameworks, technical infrastructure challenges unique to the region, and professional development standards necessary for engineers operating in this major Russian economic hub.</w:t>
      </w:r>
    </w:p>
    <w:bookmarkStart w:id="20" w:name="regulatory-and-legal-frameworks"/>
    <w:p>
      <w:pPr>
        <w:pStyle w:val="Heading2"/>
      </w:pPr>
      <w:r>
        <w:t xml:space="preserve">Regulatory and Legal Frameworks</w:t>
      </w:r>
    </w:p>
    <w:p>
      <w:pPr>
        <w:pStyle w:val="FirstParagraph"/>
      </w:pPr>
      <w:r>
        <w:t xml:space="preserve">Federal Law No. 126-FZ "On Communications" (2003, with amendments). The Government of the Russian Federation.</w:t>
      </w:r>
    </w:p>
    <w:p>
      <w:pPr>
        <w:pStyle w:val="BodyText"/>
      </w:pPr>
      <w:r>
        <w:t xml:space="preserve">This foundational legal document governs all telecommunication activities within the Russian Federation. For a Telecommunication Engineer working in Saint Petersburg, understanding this law is critical as it outlines licensing requirements, frequency spectrum allocation, and data localization mandates. The text details the obligations of network operators regarding service quality and security. Engineers must be familiar with these statutes to ensure that network designs and maintenance protocols in Saint Petersburg comply with federal mandates, particularly concerning the protection of personal data and the integrity of critical information infrastructure.</w:t>
      </w:r>
    </w:p>
    <w:p>
      <w:pPr>
        <w:pStyle w:val="BodyText"/>
      </w:pPr>
      <w:r>
        <w:t xml:space="preserve">Roskomnadzor. (2023). "Technical Regulations for the Protection of Critical Information Infrastructure." Federal Service for Supervision of Communications, Information Technology and Mass Media.</w:t>
      </w:r>
    </w:p>
    <w:p>
      <w:pPr>
        <w:pStyle w:val="BodyText"/>
      </w:pPr>
      <w:r>
        <w:t xml:space="preserve">Roskomnadzor is the primary regulatory body overseeing telecommunications in Russia. This document provides specific technical guidelines for securing networks against cyber threats. In the context of Saint Petersburg, a city with a high concentration of government and financial institutions, these regulations are strictly enforced. The resource is vital for Telecommunication Engineers tasked with implementing security protocols, firewalls, and encryption standards. It highlights the necessity of integrating national security requirements into daily engineering operations and network architecture planning.</w:t>
      </w:r>
    </w:p>
    <w:bookmarkEnd w:id="20"/>
    <w:bookmarkStart w:id="21" w:name="infrastructure-and-technical-challenges"/>
    <w:p>
      <w:pPr>
        <w:pStyle w:val="Heading2"/>
      </w:pPr>
      <w:r>
        <w:t xml:space="preserve">Infrastructure and Technical Challenges</w:t>
      </w:r>
    </w:p>
    <w:p>
      <w:pPr>
        <w:pStyle w:val="FirstParagraph"/>
      </w:pPr>
      <w:r>
        <w:t xml:space="preserve">Petrov, A., &amp; Ivanova, E. (2022). "Urban Telecommunications Infrastructure in Northern Russian Megacities: Case Study of Saint Petersburg."</w:t>
      </w:r>
      <w:r>
        <w:t xml:space="preserve"> </w:t>
      </w:r>
      <w:r>
        <w:rPr>
          <w:iCs/>
          <w:i/>
        </w:rPr>
        <w:t xml:space="preserve">Journal of Russian Telecommunications and Electronics</w:t>
      </w:r>
      <w:r>
        <w:t xml:space="preserve">, 15(3), 45-62.</w:t>
      </w:r>
    </w:p>
    <w:p>
      <w:pPr>
        <w:pStyle w:val="BodyText"/>
      </w:pPr>
      <w:r>
        <w:t xml:space="preserve">This academic article examines the unique challenges of deploying and maintaining telecommunication networks in Saint Petersburg. It discusses the impact of the city's historic architecture on signal propagation and the logistical difficulties of laying fiber-optic cables in dense urban environments. The authors analyze the transition from legacy copper networks to modern fiber-to-the-home (FTTH) solutions. For a Telecommunication Engineer, this paper offers practical insights into site selection, antenna placement, and cable routing strategies that respect both the technical needs of high-speed connectivity and the preservation regulations of Saint Petersburg's historic center.</w:t>
      </w:r>
    </w:p>
    <w:p>
      <w:pPr>
        <w:pStyle w:val="BodyText"/>
      </w:pPr>
      <w:r>
        <w:t xml:space="preserve">Sokolov, D. (2021). "5G Deployment Strategies in Russia: Regulatory and Technical Barriers."</w:t>
      </w:r>
      <w:r>
        <w:t xml:space="preserve"> </w:t>
      </w:r>
      <w:r>
        <w:rPr>
          <w:iCs/>
          <w:i/>
        </w:rPr>
        <w:t xml:space="preserve">IEEE Communications Magazine</w:t>
      </w:r>
      <w:r>
        <w:t xml:space="preserve">, 59(8), 112-119.</w:t>
      </w:r>
    </w:p>
    <w:p>
      <w:pPr>
        <w:pStyle w:val="BodyText"/>
      </w:pPr>
      <w:r>
        <w:t xml:space="preserve">While 5G technology is global, its implementation in Russia faces specific hurdles regarding frequency bands and equipment sourcing. This article explores how Russian operators are adapting 5G standards to local conditions. Saint Petersburg is a key pilot region for these technologies. The text is essential for engineers involved in next-generation network planning, as it details the technical specifications of the 4.8 GHz band allocated in Russia and the interoperability requirements with existing 4G LTE infrastructure. It provides a roadmap for engineers aiming to upgrade network capacity in the city.</w:t>
      </w:r>
    </w:p>
    <w:bookmarkEnd w:id="21"/>
    <w:bookmarkStart w:id="22" w:name="professional-standards-and-education"/>
    <w:p>
      <w:pPr>
        <w:pStyle w:val="Heading2"/>
      </w:pPr>
      <w:r>
        <w:t xml:space="preserve">Professional Standards and Education</w:t>
      </w:r>
    </w:p>
    <w:p>
      <w:pPr>
        <w:pStyle w:val="FirstParagraph"/>
      </w:pPr>
      <w:r>
        <w:t xml:space="preserve">Saint Petersburg Electrotechnical University "LETI". (2023). "Curriculum Standards for Telecommunications Engineering." Department of Telecommunications.</w:t>
      </w:r>
    </w:p>
    <w:p>
      <w:pPr>
        <w:pStyle w:val="BodyText"/>
      </w:pPr>
      <w:r>
        <w:t xml:space="preserve">As one of the leading technical universities in Russia, LETI sets the educational benchmark for Telecommunication Engineers in the region. This document outlines the core competencies required for modern engineers, including digital signal processing, network security, and satellite communications. It serves as a reference for professional development, highlighting the skills gap between traditional training and current industry demands in Saint Petersburg. Engineers can use this resource to identify areas for upskilling, particularly in software-defined networking (SDN) and network function virtualization (NFV), which are increasingly prioritized by local employers.</w:t>
      </w:r>
    </w:p>
    <w:p>
      <w:pPr>
        <w:pStyle w:val="BodyText"/>
      </w:pPr>
      <w:r>
        <w:t xml:space="preserve">Ministry of Digital Development, Communications and Mass Media of the Russian Federation. (2022). "National Project 'Digital Economy': Telecommunications Component."</w:t>
      </w:r>
    </w:p>
    <w:p>
      <w:pPr>
        <w:pStyle w:val="BodyText"/>
      </w:pPr>
      <w:r>
        <w:t xml:space="preserve">This government report details the strategic goals for digital infrastructure development across Russia, with specific targets for major cities like Saint Petersburg. It emphasizes the expansion of broadband access and the modernization of state-owned communication networks. For a Telecommunication Engineer, this document provides context on large-scale projects and funding opportunities. Understanding these national priorities helps engineers align their technical proposals with government objectives, facilitating project approval and implementation within the public sector.</w:t>
      </w:r>
    </w:p>
    <w:bookmarkEnd w:id="22"/>
    <w:bookmarkStart w:id="23" w:name="industry-reports-and-market-analysis"/>
    <w:p>
      <w:pPr>
        <w:pStyle w:val="Heading2"/>
      </w:pPr>
      <w:r>
        <w:t xml:space="preserve">Industry Reports and Market Analysis</w:t>
      </w:r>
    </w:p>
    <w:p>
      <w:pPr>
        <w:pStyle w:val="FirstParagraph"/>
      </w:pPr>
      <w:r>
        <w:t xml:space="preserve">J'son &amp; Partners Consulting. (2023). "Russian Telecommunications Market Report: Trends and Forecasts."</w:t>
      </w:r>
    </w:p>
    <w:p>
      <w:pPr>
        <w:pStyle w:val="BodyText"/>
      </w:pPr>
      <w:r>
        <w:t xml:space="preserve">This comprehensive market analysis provides data on subscriber growth, technology adoption rates, and competitive dynamics among major Russian operators such as MTS, Beeline, and Megafon. The report includes specific data on Saint Petersburg's market saturation and consumer behavior. For Telecommunication Engineers, this information is crucial for capacity planning and network optimization. It helps engineers anticipate traffic loads and understand the commercial drivers behind infrastructure investments, ensuring that technical solutions are economically viable and aligned with market trends.</w:t>
      </w:r>
    </w:p>
    <w:p>
      <w:pPr>
        <w:pStyle w:val="BodyText"/>
      </w:pPr>
      <w:r>
        <w:t xml:space="preserve">Russian Association of Telecommunications Operators (RATO). (2023). "Annual Report on Network Reliability and Service Quality."</w:t>
      </w:r>
    </w:p>
    <w:p>
      <w:pPr>
        <w:pStyle w:val="BodyText"/>
      </w:pPr>
      <w:r>
        <w:t xml:space="preserve">RATO represents the interests of major telecom operators in Russia. This annual report benchmarks network performance metrics, including uptime, latency, and fault resolution times. It highlights common technical issues faced in urban environments like Saint Petersburg. Engineers can use this data to evaluate their own network performance against industry standards. The report also discusses emerging threats to network stability, providing valuable lessons for improving resilience and maintaining high service quality in a competitive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Saint Petersburg, Russia</dc:title>
  <dc:creator/>
  <dc:language>en</dc:language>
  <cp:keywords/>
  <dcterms:created xsi:type="dcterms:W3CDTF">2026-08-07T07:20:37Z</dcterms:created>
  <dcterms:modified xsi:type="dcterms:W3CDTF">2026-08-07T07:20:37Z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