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Translation and Interpretation Practices in Tel Aviv, Israel</w:t>
      </w:r>
    </w:p>
    <w:bookmarkEnd w:id="20"/>
    <w:p>
      <w:pPr>
        <w:pStyle w:val="BodyText"/>
      </w:pPr>
      <w:r>
        <w:t xml:space="preserve">This annotated bibliography compiles essential resources regarding the profession of translation and interpretation within the specific context of Tel Aviv, Israel. The selection focuses on the linguistic diversity of the region, the legal frameworks governing professional interpreters, and the cultural nuances required for effective communication in this dynamic metropolis.</w:t>
      </w:r>
    </w:p>
    <w:bookmarkStart w:id="21" w:name="general-context-and-linguistic-landscape"/>
    <w:p>
      <w:pPr>
        <w:pStyle w:val="Heading2"/>
      </w:pPr>
      <w:r>
        <w:t xml:space="preserve">General Context and Linguistic Landscape</w:t>
      </w:r>
    </w:p>
    <w:p>
      <w:pPr>
        <w:pStyle w:val="FirstParagraph"/>
      </w:pPr>
      <w:r>
        <w:t xml:space="preserve">Ben-Rafael, E., Shohamy, E., &amp; Waksman, V. (2006). Language Policy and Language Conflict in Israel. Routledge.</w:t>
      </w:r>
    </w:p>
    <w:p>
      <w:pPr>
        <w:pStyle w:val="BodyText"/>
      </w:pPr>
      <w:r>
        <w:t xml:space="preserve">This comprehensive volume examines the complex language policies in Israel, focusing on the tension between Hebrew, Arabic, and English. It provides a historical and sociological analysis of how language is used as a tool for power and identity.</w:t>
      </w:r>
    </w:p>
    <w:p>
      <w:pPr>
        <w:pStyle w:val="BodyText"/>
      </w:pPr>
      <w:r>
        <w:t xml:space="preserve">For a translator or interpreter operating in Tel Aviv, understanding the political weight of language is crucial. This text offers necessary background on why certain terminologies are sensitive and how language choices impact social dynamics in the city.</w:t>
      </w:r>
    </w:p>
    <w:p>
      <w:pPr>
        <w:pStyle w:val="BodyText"/>
      </w:pPr>
      <w:r>
        <w:t xml:space="preserve">Shohamy, E. (2006). Language Policy: Hidden Agendas and New Approaches. Routledge.</w:t>
      </w:r>
    </w:p>
    <w:p>
      <w:pPr>
        <w:pStyle w:val="BodyText"/>
      </w:pPr>
      <w:r>
        <w:t xml:space="preserve">Elana Shohamy, a prominent scholar from Tel Aviv University, explores the hidden agendas behind language testing and policy. She discusses how language proficiency is measured and how these measurements affect immigrants and minorities.</w:t>
      </w:r>
    </w:p>
    <w:p>
      <w:pPr>
        <w:pStyle w:val="BodyText"/>
      </w:pPr>
      <w:r>
        <w:t xml:space="preserve">Tel Aviv is a hub for immigration and international business. This work is vital for interpreters working with new immigrants (Olim) or in educational settings, as it highlights the biases that may exist in official language assessments and communication protocols.</w:t>
      </w:r>
    </w:p>
    <w:bookmarkEnd w:id="21"/>
    <w:bookmarkStart w:id="22" w:name="legal-and-court-interpretation"/>
    <w:p>
      <w:pPr>
        <w:pStyle w:val="Heading2"/>
      </w:pPr>
      <w:r>
        <w:t xml:space="preserve">Legal and Court Interpretation</w:t>
      </w:r>
    </w:p>
    <w:p>
      <w:pPr>
        <w:pStyle w:val="FirstParagraph"/>
      </w:pPr>
      <w:r>
        <w:t xml:space="preserve">Israel Ministry of Justice. (2018). Regulations for the Appointment of Interpreters in Court Proceedings. Government of Israel.</w:t>
      </w:r>
    </w:p>
    <w:p>
      <w:pPr>
        <w:pStyle w:val="BodyText"/>
      </w:pPr>
      <w:r>
        <w:t xml:space="preserve">This official government document outlines the legal requirements, qualifications, and ethical standards for interpreters working within the Israeli judicial system. It details the certification process and the specific duties of court interpreters.</w:t>
      </w:r>
    </w:p>
    <w:p>
      <w:pPr>
        <w:pStyle w:val="BodyText"/>
      </w:pPr>
      <w:r>
        <w:t xml:space="preserve">This is a primary source for any interpreter seeking to work in Tel Aviv’s courts. It defines the legal boundaries of the profession, ensuring that practitioners understand their obligations regarding accuracy, confidentiality, and impartiality in a legal setting.</w:t>
      </w:r>
    </w:p>
    <w:p>
      <w:pPr>
        <w:pStyle w:val="BodyText"/>
      </w:pPr>
      <w:r>
        <w:t xml:space="preserve">Gavron, Y. (2015). "The Role of the Interpreter in the Israeli Courtroom." Journal of Legal Interpretation, 12(3), 45-62.</w:t>
      </w:r>
    </w:p>
    <w:p>
      <w:pPr>
        <w:pStyle w:val="BodyText"/>
      </w:pPr>
      <w:r>
        <w:t xml:space="preserve">This academic article analyzes the practical challenges faced by interpreters in Israeli courts, particularly when dealing with Arabic-Hebrew translation. It discusses issues of power dynamics between judges, lawyers, and interpreters.</w:t>
      </w:r>
    </w:p>
    <w:p>
      <w:pPr>
        <w:pStyle w:val="BodyText"/>
      </w:pPr>
      <w:r>
        <w:t xml:space="preserve">Given the high volume of legal cases involving Arabic speakers in Tel Aviv, this article provides critical insights into the professional conduct required. It helps interpreters navigate the hierarchical nature of the courtroom while maintaining linguistic fidelity.</w:t>
      </w:r>
    </w:p>
    <w:bookmarkEnd w:id="22"/>
    <w:bookmarkStart w:id="23" w:name="medical-and-community-interpretation"/>
    <w:p>
      <w:pPr>
        <w:pStyle w:val="Heading2"/>
      </w:pPr>
      <w:r>
        <w:t xml:space="preserve">Medical and Community Interpretation</w:t>
      </w:r>
    </w:p>
    <w:p>
      <w:pPr>
        <w:pStyle w:val="FirstParagraph"/>
      </w:pPr>
      <w:r>
        <w:t xml:space="preserve">Clifford, V., &amp; Shohat, M. (2019). "Health Communication in Multicultural Tel Aviv: The Need for Professional Medical Interpreters." Israel Journal of Health Policy Research, 8(1), 1-10.</w:t>
      </w:r>
    </w:p>
    <w:p>
      <w:pPr>
        <w:pStyle w:val="BodyText"/>
      </w:pPr>
      <w:r>
        <w:t xml:space="preserve">This study investigates the use of ad-hoc interpreters (such as family members) versus professional interpreters in Tel Aviv hospitals. It highlights the risks of medical errors due to poor translation and the cultural barriers in patient-doctor communication.</w:t>
      </w:r>
    </w:p>
    <w:p>
      <w:pPr>
        <w:pStyle w:val="BodyText"/>
      </w:pPr>
      <w:r>
        <w:t xml:space="preserve">Tel Aviv’s healthcare system serves a diverse population. This resource is essential for interpreters working in medical settings, emphasizing the ethical imperative of professional interpretation to ensure patient safety and informed consent.</w:t>
      </w:r>
    </w:p>
    <w:p>
      <w:pPr>
        <w:pStyle w:val="BodyText"/>
      </w:pPr>
      <w:r>
        <w:t xml:space="preserve">The Israel Association of Translators and Interpreters (IATI). (2021). Code of Ethics and Professional Standards. IATI.</w:t>
      </w:r>
    </w:p>
    <w:p>
      <w:pPr>
        <w:pStyle w:val="BodyText"/>
      </w:pPr>
      <w:r>
        <w:t xml:space="preserve">This document serves as the professional guideline for members of the Israel Association of Translators and Interpreters. It covers confidentiality, accuracy, conflict of interest, and continuing professional development.</w:t>
      </w:r>
    </w:p>
    <w:p>
      <w:pPr>
        <w:pStyle w:val="BodyText"/>
      </w:pPr>
      <w:r>
        <w:t xml:space="preserve">For any translator or interpreter in Tel Aviv, adherence to this code is often a prerequisite for employment. It establishes the professional identity of the interpreter in Israel and provides a framework for ethical decision-making in complex situations.</w:t>
      </w:r>
    </w:p>
    <w:bookmarkEnd w:id="23"/>
    <w:bookmarkStart w:id="24" w:name="X8ad96a4dfe24ba3e1b33f9c2933f216ab43e1a2"/>
    <w:p>
      <w:pPr>
        <w:pStyle w:val="Heading2"/>
      </w:pPr>
      <w:r>
        <w:t xml:space="preserve">Cultural Nuances and Business Communication</w:t>
      </w:r>
    </w:p>
    <w:p>
      <w:pPr>
        <w:pStyle w:val="FirstParagraph"/>
      </w:pPr>
      <w:r>
        <w:t xml:space="preserve">Hofstede, G., Hofstede, G. J., &amp; Minkov, M. (2010). Cultures and Organizations: Software of the Mind. McGraw-Hill.</w:t>
      </w:r>
    </w:p>
    <w:p>
      <w:pPr>
        <w:pStyle w:val="BodyText"/>
      </w:pPr>
      <w:r>
        <w:t xml:space="preserve">While a global text, this book includes specific data on Israeli culture, describing it as having high uncertainty avoidance and a direct communication style. It contrasts Israeli cultural dimensions with other major global cultures.</w:t>
      </w:r>
    </w:p>
    <w:p>
      <w:pPr>
        <w:pStyle w:val="BodyText"/>
      </w:pPr>
      <w:r>
        <w:t xml:space="preserve">Tel Aviv is a global tech and business hub. Interpreters working in business negotiations must understand the direct, sometimes confrontational, communication style typical of Israeli business culture to accurately convey tone and intent to foreign clients.</w:t>
      </w:r>
    </w:p>
    <w:p>
      <w:pPr>
        <w:pStyle w:val="BodyText"/>
      </w:pPr>
      <w:r>
        <w:t xml:space="preserve">Katriel, T. (2004). Talking Straight: Goyish Kletscher and the Israeli National Character. Cambridge University Press.</w:t>
      </w:r>
    </w:p>
    <w:p>
      <w:pPr>
        <w:pStyle w:val="BodyText"/>
      </w:pPr>
      <w:r>
        <w:t xml:space="preserve">This anthropological study explores the concept of "talking straight" in Israeli society, analyzing how directness, humor, and argumentation are valued in social interactions. It delves into the linguistic habits that define Israeli identity.</w:t>
      </w:r>
    </w:p>
    <w:p>
      <w:pPr>
        <w:pStyle w:val="BodyText"/>
      </w:pPr>
      <w:r>
        <w:t xml:space="preserve">For interpreters in Tel Aviv, understanding the cultural value of directness is key. This book helps interpreters distinguish between rudeness and cultural norms, ensuring that they interpret not just words, but the underlying social expectations of their clients.</w:t>
      </w:r>
    </w:p>
    <w:p>
      <w:pPr>
        <w:pStyle w:val="BodyText"/>
      </w:pPr>
      <w:r>
        <w:t xml:space="preserve">Document prepared for educational and professional reference purposes regarding translation and interpretation services in Tel Aviv, Israel.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Tel Aviv, Israel</dc:title>
  <dc:creator/>
  <dc:language>en</dc:language>
  <cp:keywords/>
  <dcterms:created xsi:type="dcterms:W3CDTF">2026-08-06T23:54:58Z</dcterms:created>
  <dcterms:modified xsi:type="dcterms:W3CDTF">2026-08-06T23:54:58Z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