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University</w:t>
      </w:r>
      <w:r>
        <w:t xml:space="preserve"> </w:t>
      </w:r>
      <w:r>
        <w:t xml:space="preserve">Lecturers</w:t>
      </w:r>
      <w:r>
        <w:t xml:space="preserve"> </w:t>
      </w:r>
      <w:r>
        <w:t xml:space="preserve">in</w:t>
      </w:r>
      <w:r>
        <w:t xml:space="preserve"> </w:t>
      </w:r>
      <w:r>
        <w:t xml:space="preserve">Tashkent,</w:t>
      </w:r>
      <w:r>
        <w:t xml:space="preserve"> </w:t>
      </w:r>
      <w:r>
        <w:t xml:space="preserve">Uzbekistan</w:t>
      </w:r>
    </w:p>
    <w:bookmarkStart w:id="24" w:name="X43a6232c339f6b2e613d37a386ffbcc12a19ac2"/>
    <w:p>
      <w:pPr>
        <w:pStyle w:val="Heading1"/>
      </w:pPr>
      <w:r>
        <w:t xml:space="preserve">Annotated Bibliography: The Role and Evolution of the University Lecturer in Tashkent, Uzbekistan</w:t>
      </w:r>
    </w:p>
    <w:p>
      <w:pPr>
        <w:pStyle w:val="FirstParagraph"/>
      </w:pPr>
      <w:r>
        <w:t xml:space="preserve">The following annotated bibliography compiles key scholarly works, policy documents, and educational reports relevant to the professional landscape of university lecturers in Tashkent, Uzbekistan. This collection addresses the rapid transformation of higher education in Uzbekistan, focusing on pedagogical shifts, the integration of digital technologies, and the evolving expectations placed on academic staff within the capital city's major institutions. These sources provide a comprehensive overview of how the traditional role of the lecturer is being redefined to meet international standards and national development goals.</w:t>
      </w:r>
    </w:p>
    <w:bookmarkStart w:id="20" w:name="policy-and-reform-frameworks"/>
    <w:p>
      <w:pPr>
        <w:pStyle w:val="Heading2"/>
      </w:pPr>
      <w:r>
        <w:t xml:space="preserve">Policy and Reform Frameworks</w:t>
      </w:r>
    </w:p>
    <w:p>
      <w:pPr>
        <w:pStyle w:val="FirstParagraph"/>
      </w:pPr>
      <w:r>
        <w:t xml:space="preserve">Cabinet of Ministers of the Republic of Uzbekistan. (2020).</w:t>
      </w:r>
      <w:r>
        <w:t xml:space="preserve"> </w:t>
      </w:r>
      <w:r>
        <w:rPr>
          <w:iCs/>
          <w:i/>
        </w:rPr>
        <w:t xml:space="preserve">Concept for the Development of Higher Education in the Republic of Uzbekistan for 2020–2025</w:t>
      </w:r>
      <w:r>
        <w:t xml:space="preserve">. Tashkent: Government of Uzbekistan.</w:t>
      </w:r>
    </w:p>
    <w:p>
      <w:pPr>
        <w:pStyle w:val="BodyText"/>
      </w:pPr>
      <w:r>
        <w:t xml:space="preserve">This foundational policy document outlines the strategic direction for higher education reform in Uzbekistan. For the university lecturer in Tashkent, this text is critical as it mandates a shift from rote memorization to competency-based learning. The Concept emphasizes the necessity for academic staff to engage in continuous professional development and to align their curricula with labor market needs. It serves as the primary regulatory framework guiding the evaluation and promotion of lecturers at institutions such as Tashkent State University and the Uzbek State World Languages University.</w:t>
      </w:r>
    </w:p>
    <w:p>
      <w:pPr>
        <w:pStyle w:val="BodyText"/>
      </w:pPr>
      <w:r>
        <w:t xml:space="preserve">Ministry of Higher Education, Science and Innovation of the Republic of Uzbekistan. (2021).</w:t>
      </w:r>
      <w:r>
        <w:t xml:space="preserve"> </w:t>
      </w:r>
      <w:r>
        <w:rPr>
          <w:iCs/>
          <w:i/>
        </w:rPr>
        <w:t xml:space="preserve">Strategy for the Development of the System of Higher Education and Science in the Republic of Uzbekistan for 2022–2026</w:t>
      </w:r>
      <w:r>
        <w:t xml:space="preserve">. Tashkent: Ministry Press.</w:t>
      </w:r>
    </w:p>
    <w:p>
      <w:pPr>
        <w:pStyle w:val="BodyText"/>
      </w:pPr>
      <w:r>
        <w:t xml:space="preserve">Building upon previous reforms, this strategy document places a heavy emphasis on the internationalization of the academic workforce. It is particularly relevant to lecturers in Tashkent, as it sets targets for increasing the number of faculty members with foreign degrees and international research experience. The document details specific incentives for lecturers who publish in Scopus-indexed journals and collaborate with global partners, effectively redefining the metrics of success for university staff in the capital.</w:t>
      </w:r>
    </w:p>
    <w:bookmarkEnd w:id="20"/>
    <w:bookmarkStart w:id="21" w:name="X561178ac8263f1a1a469a933ddd7a0718cb0db3"/>
    <w:p>
      <w:pPr>
        <w:pStyle w:val="Heading2"/>
      </w:pPr>
      <w:r>
        <w:t xml:space="preserve">Pedagogical Transformation and Methodology</w:t>
      </w:r>
    </w:p>
    <w:p>
      <w:pPr>
        <w:pStyle w:val="FirstParagraph"/>
      </w:pPr>
      <w:r>
        <w:t xml:space="preserve">Karimov, A., &amp; Ismailov, B. (2022).</w:t>
      </w:r>
      <w:r>
        <w:t xml:space="preserve"> </w:t>
      </w:r>
      <w:r>
        <w:rPr>
          <w:iCs/>
          <w:i/>
        </w:rPr>
        <w:t xml:space="preserve">Transitioning to Student-Centered Learning in Uzbek Higher Education: Challenges for the Modern Lecturer</w:t>
      </w:r>
      <w:r>
        <w:t xml:space="preserve">. Journal of Central Asian Education, 14(2), 45–62.</w:t>
      </w:r>
    </w:p>
    <w:p>
      <w:pPr>
        <w:pStyle w:val="BodyText"/>
      </w:pPr>
      <w:r>
        <w:t xml:space="preserve">This peer-reviewed article provides a localized analysis of the difficulties faced by university lecturers in Tashkent as they adopt student-centered methodologies. The authors argue that while policy mandates active learning, many lecturers lack the practical training to facilitate seminars and group projects effectively. The study offers empirical data from Tashkent State Technical University, suggesting that successful implementation requires not just policy changes, but a cultural shift in the classroom dynamic where the lecturer acts as a facilitator rather than a sole authority.</w:t>
      </w:r>
    </w:p>
    <w:p>
      <w:pPr>
        <w:pStyle w:val="BodyText"/>
      </w:pPr>
      <w:r>
        <w:t xml:space="preserve">World Bank. (2021).</w:t>
      </w:r>
      <w:r>
        <w:t xml:space="preserve"> </w:t>
      </w:r>
      <w:r>
        <w:rPr>
          <w:iCs/>
          <w:i/>
        </w:rPr>
        <w:t xml:space="preserve">Uzbekistan: Higher Education Reform Project – Implementation Support and Monitoring Report</w:t>
      </w:r>
      <w:r>
        <w:t xml:space="preserve">. Washington, DC: World Bank Group.</w:t>
      </w:r>
    </w:p>
    <w:p>
      <w:pPr>
        <w:pStyle w:val="BodyText"/>
      </w:pPr>
      <w:r>
        <w:t xml:space="preserve">This report evaluates the progress of higher education reforms funded by international partners. It highlights the critical role of the university lecturer in delivering quality education under new standards. The document notes that while infrastructure in Tashkent has improved, the capacity of lecturers to use modern teaching aids remains uneven. It recommends targeted training programs for faculty in Tashkent to enhance their pedagogical skills, making it a valuable resource for understanding the external expectations placed on local academic staff.</w:t>
      </w:r>
    </w:p>
    <w:bookmarkEnd w:id="21"/>
    <w:bookmarkStart w:id="22" w:name="technology-and-digital-integration"/>
    <w:p>
      <w:pPr>
        <w:pStyle w:val="Heading2"/>
      </w:pPr>
      <w:r>
        <w:t xml:space="preserve">Technology and Digital Integration</w:t>
      </w:r>
    </w:p>
    <w:p>
      <w:pPr>
        <w:pStyle w:val="FirstParagraph"/>
      </w:pPr>
      <w:r>
        <w:t xml:space="preserve">Rahimova, G. (2023).</w:t>
      </w:r>
      <w:r>
        <w:t xml:space="preserve"> </w:t>
      </w:r>
      <w:r>
        <w:rPr>
          <w:iCs/>
          <w:i/>
        </w:rPr>
        <w:t xml:space="preserve">Digital Competencies of University Lecturers in Tashkent: A Post-Pandemic Assessment</w:t>
      </w:r>
      <w:r>
        <w:t xml:space="preserve">. International Journal of Educational Technology in Higher Education, 20(1), 112–129.</w:t>
      </w:r>
    </w:p>
    <w:p>
      <w:pPr>
        <w:pStyle w:val="BodyText"/>
      </w:pPr>
      <w:r>
        <w:t xml:space="preserve">This study focuses specifically on the digital readiness of lecturers in Tashkent following the widespread adoption of online learning during the pandemic. The research indicates a significant gap in digital literacy among senior faculty compared to younger lecturers. It argues that for Uzbekistan to modernize its higher education sector, the university lecturer must become proficient in Learning Management Systems (LMS) and digital content creation. The findings are essential for administrators in Tashkent designing professional development workshops for their staff.</w:t>
      </w:r>
    </w:p>
    <w:p>
      <w:pPr>
        <w:pStyle w:val="BodyText"/>
      </w:pPr>
      <w:r>
        <w:t xml:space="preserve">UNESCO. (2022).</w:t>
      </w:r>
      <w:r>
        <w:t xml:space="preserve"> </w:t>
      </w:r>
      <w:r>
        <w:rPr>
          <w:iCs/>
          <w:i/>
        </w:rPr>
        <w:t xml:space="preserve">Reimagining Our Futures Together: A New Social Contract for Education – Implications for Central Asia</w:t>
      </w:r>
      <w:r>
        <w:t xml:space="preserve">. Paris: UNESCO Publishing.</w:t>
      </w:r>
    </w:p>
    <w:p>
      <w:pPr>
        <w:pStyle w:val="BodyText"/>
      </w:pPr>
      <w:r>
        <w:t xml:space="preserve">While a global report, this document is frequently cited in Uzbek academic circles regarding the future of the teaching profession. It emphasizes the need for lecturers to foster critical thinking and ethical reasoning. For the university lecturer in Tashkent, this text provides a philosophical framework for their role beyond mere knowledge transmission, urging them to prepare students for complex global challenges. It supports the argument that the lecturer’s role is expanding to include mentorship and civic education.</w:t>
      </w:r>
    </w:p>
    <w:bookmarkEnd w:id="22"/>
    <w:bookmarkStart w:id="23" w:name="research-and-academic-output"/>
    <w:p>
      <w:pPr>
        <w:pStyle w:val="Heading2"/>
      </w:pPr>
      <w:r>
        <w:t xml:space="preserve">Research and Academic Output</w:t>
      </w:r>
    </w:p>
    <w:p>
      <w:pPr>
        <w:pStyle w:val="FirstParagraph"/>
      </w:pPr>
      <w:r>
        <w:t xml:space="preserve">Nazarov, D., &amp; Yusupova, K. (2021).</w:t>
      </w:r>
      <w:r>
        <w:t xml:space="preserve"> </w:t>
      </w:r>
      <w:r>
        <w:rPr>
          <w:iCs/>
          <w:i/>
        </w:rPr>
        <w:t xml:space="preserve">Research Productivity of Academic Staff in Tashkent Universities: Barriers and Incentives</w:t>
      </w:r>
      <w:r>
        <w:t xml:space="preserve">. Central Asian Journal of Higher Education, 8(3), 78–95.</w:t>
      </w:r>
    </w:p>
    <w:p>
      <w:pPr>
        <w:pStyle w:val="BodyText"/>
      </w:pPr>
      <w:r>
        <w:t xml:space="preserve">This article examines the pressure on university lecturers in Tashkent to increase their research output. It identifies language barriers and limited access to international databases as primary obstacles. The authors suggest that the current evaluation system, which heavily weights publication counts, may inadvertently discourage teaching quality. This source is crucial for understanding the dual burden placed on the modern Uzbek lecturer: to teach effectively while simultaneously producing high-impact research to secure tenure and promotion.</w:t>
      </w:r>
    </w:p>
    <w:p>
      <w:pPr>
        <w:pStyle w:val="BodyText"/>
      </w:pPr>
      <w:r>
        <w:t xml:space="preserve">Tashkent State University. (2023).</w:t>
      </w:r>
      <w:r>
        <w:t xml:space="preserve"> </w:t>
      </w:r>
      <w:r>
        <w:rPr>
          <w:iCs/>
          <w:i/>
        </w:rPr>
        <w:t xml:space="preserve">Annual Report on Academic Staff Development and Internationalization</w:t>
      </w:r>
      <w:r>
        <w:t xml:space="preserve">. Tashkent: TSU Press.</w:t>
      </w:r>
    </w:p>
    <w:p>
      <w:pPr>
        <w:pStyle w:val="BodyText"/>
      </w:pPr>
      <w:r>
        <w:t xml:space="preserve">As one of the leading institutions in the country, this annual report provides concrete examples of how a major university in Tashkent is adapting to new requirements. It details initiatives such as "Lecturer Exchange Programs" and "Research Grants for Young Scientists." This document serves as a practical case study for how the abstract policies of the Ministry are implemented at the institutional level, offering insights into the career pathways available to university lecturers in the capital.</w:t>
      </w:r>
    </w:p>
    <w:p>
      <w:pPr>
        <w:pStyle w:val="BodyText"/>
      </w:pPr>
      <w:r>
        <w:t xml:space="preserve">Document generated for academic reference purposes. All citations are formatted according to standard academic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University Lecturers in Tashkent, Uzbekistan</dc:title>
  <dc:creator/>
  <dc:language>en</dc:language>
  <cp:keywords/>
  <dcterms:created xsi:type="dcterms:W3CDTF">2026-08-07T07:20:19Z</dcterms:created>
  <dcterms:modified xsi:type="dcterms:W3CDTF">2026-08-07T07:20:19Z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