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Vancouver,</w:t>
      </w:r>
      <w:r>
        <w:t xml:space="preserve"> </w:t>
      </w:r>
      <w:r>
        <w:t xml:space="preserve">Canada</w:t>
      </w:r>
    </w:p>
    <w:bookmarkStart w:id="24" w:name="Xa92b4b10ba5cd4cfc2c7ba37c6cdad7b303a1c5"/>
    <w:p>
      <w:pPr>
        <w:pStyle w:val="Heading1"/>
      </w:pPr>
      <w:r>
        <w:t xml:space="preserve">Annotated Bibliography: UX/UI Design in Vancouver, Canada</w:t>
      </w:r>
    </w:p>
    <w:p>
      <w:pPr>
        <w:pStyle w:val="FirstParagraph"/>
      </w:pPr>
      <w:r>
        <w:t xml:space="preserve">This annotated bibliography compiles essential resources regarding the role, responsibilities, and market conditions for UX/UI Designers specifically within the context of Vancouver, British Columbia. As a major technology hub in Canada, Vancouver presents unique challenges and opportunities for design professionals, ranging from accessibility compliance to the integration of Indigenous cultural perspectives. The following sources provide a comprehensive overview of the industry standards, legal requirements, and community-driven practices that define the profession in this region.</w:t>
      </w:r>
    </w:p>
    <w:bookmarkStart w:id="20" w:name="X7af8b72e884c30f5965173da462f04fa563c8dc"/>
    <w:p>
      <w:pPr>
        <w:pStyle w:val="Heading2"/>
      </w:pPr>
      <w:r>
        <w:t xml:space="preserve">Industry Standards and Professional Practice</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While a foundational text globally, this resource is critical for UX/UI Designers in Vancouver due to the city's high concentration of startups and agile development firms. The book outlines methods for prioritizing usability improvements based on user impact and implementation cost. For designers working in Vancouver's competitive tech sector, often serving clients in the Pacific Rim, the ability to justify design decisions through data-driven prioritization is essential. This text supports the rigorous, efficiency-focused culture prevalent in Vancouver's software development community.</w:t>
      </w:r>
    </w:p>
    <w:p>
      <w:pPr>
        <w:pStyle w:val="BodyText"/>
      </w:pPr>
      <w:r>
        <w:t xml:space="preserve">Cooper, A., Reimann, R., Cronin, D., &amp; Noessel, C. (2014).</w:t>
      </w:r>
      <w:r>
        <w:t xml:space="preserve"> </w:t>
      </w:r>
      <w:r>
        <w:rPr>
          <w:iCs/>
          <w:i/>
        </w:rPr>
        <w:t xml:space="preserve">About Face: The Essentials of Interaction Design</w:t>
      </w:r>
      <w:r>
        <w:t xml:space="preserve"> </w:t>
      </w:r>
      <w:r>
        <w:t xml:space="preserve">(4th ed.). Wiley.</w:t>
      </w:r>
    </w:p>
    <w:p>
      <w:pPr>
        <w:pStyle w:val="BodyText"/>
      </w:pPr>
      <w:r>
        <w:t xml:space="preserve">This comprehensive guide is a staple for UX/UI professionals in Canada. It details the goal-directed design process, which aligns with the structured approach often required by larger Canadian enterprises and government bodies operating in British Columbia. The book emphasizes understanding user needs before designing solutions, a practice that is increasingly mandated in public sector projects in Vancouver. It serves as a vital reference for ensuring that digital products meet the high expectations of Vancouver's tech-savvy user base.</w:t>
      </w:r>
    </w:p>
    <w:bookmarkEnd w:id="20"/>
    <w:bookmarkStart w:id="21" w:name="X5e22fcb9021da9d34b1922fc19df70e6aced116"/>
    <w:p>
      <w:pPr>
        <w:pStyle w:val="Heading2"/>
      </w:pPr>
      <w:r>
        <w:t xml:space="preserve">Legal and Accessibility Requirements in Canada</w:t>
      </w:r>
    </w:p>
    <w:p>
      <w:pPr>
        <w:pStyle w:val="FirstParagraph"/>
      </w:pPr>
      <w:r>
        <w:t xml:space="preserve">Government of Canada. (2019).</w:t>
      </w:r>
      <w:r>
        <w:t xml:space="preserve"> </w:t>
      </w:r>
      <w:r>
        <w:rPr>
          <w:iCs/>
          <w:i/>
        </w:rPr>
        <w:t xml:space="preserve">Accessible Canada Act (Bill C-81)</w:t>
      </w:r>
      <w:r>
        <w:t xml:space="preserve">. Parliament of Canada.</w:t>
      </w:r>
    </w:p>
    <w:p>
      <w:pPr>
        <w:pStyle w:val="BodyText"/>
      </w:pPr>
      <w:r>
        <w:t xml:space="preserve">This legislation is arguably the most important regulatory document for UX/UI Designers working in Canada, including Vancouver. The Act aims to make Canada barrier-free by 2040, imposing strict accessibility standards on federally regulated industries. For designers in Vancouver, many of whom work for companies with federal ties or national reach, understanding the requirements of the Accessible Canada Act is non-negotiable. It mandates that digital interfaces must be perceivable, operable, understandable, and robust for users with disabilities, directly influencing UI design choices and UX testing protocols.</w:t>
      </w:r>
    </w:p>
    <w:p>
      <w:pPr>
        <w:pStyle w:val="BodyText"/>
      </w:pPr>
      <w:r>
        <w:t xml:space="preserve">World Wide Web Consortium (W3C). (2018).</w:t>
      </w:r>
      <w:r>
        <w:t xml:space="preserve"> </w:t>
      </w:r>
      <w:r>
        <w:rPr>
          <w:iCs/>
          <w:i/>
        </w:rPr>
        <w:t xml:space="preserve">Web Content Accessibility Guidelines (WCAG) 2.1</w:t>
      </w:r>
      <w:r>
        <w:t xml:space="preserve">.</w:t>
      </w:r>
    </w:p>
    <w:p>
      <w:pPr>
        <w:pStyle w:val="BodyText"/>
      </w:pPr>
      <w:r>
        <w:t xml:space="preserve">Although an international standard, WCAG 2.1 is the technical benchmark referenced by Canadian law and is strictly enforced in Vancouver's public and private sectors. UX/UI Designers in this region must apply these guidelines to ensure compliance with provincial and federal accessibility laws. The guidelines cover color contrast, keyboard navigation, and screen reader compatibility, which are critical considerations for designers creating inclusive digital experiences for Vancouver's diverse population.</w:t>
      </w:r>
    </w:p>
    <w:bookmarkEnd w:id="21"/>
    <w:bookmarkStart w:id="22" w:name="X6315a6ade18499b009054383aace2d211df47bd"/>
    <w:p>
      <w:pPr>
        <w:pStyle w:val="Heading2"/>
      </w:pPr>
      <w:r>
        <w:t xml:space="preserve">Local Market Analysis and Career Development</w:t>
      </w:r>
    </w:p>
    <w:p>
      <w:pPr>
        <w:pStyle w:val="FirstParagraph"/>
      </w:pPr>
      <w:r>
        <w:t xml:space="preserve">Creative BC. (2022).</w:t>
      </w:r>
      <w:r>
        <w:t xml:space="preserve"> </w:t>
      </w:r>
      <w:r>
        <w:rPr>
          <w:iCs/>
          <w:i/>
        </w:rPr>
        <w:t xml:space="preserve">The State of the Creative Industries in British Columbia</w:t>
      </w:r>
      <w:r>
        <w:t xml:space="preserve">. Creative BC.</w:t>
      </w:r>
    </w:p>
    <w:p>
      <w:pPr>
        <w:pStyle w:val="BodyText"/>
      </w:pPr>
      <w:r>
        <w:t xml:space="preserve">This report provides valuable insights into the economic landscape for creative professionals in British Columbia, including UX/UI Designers. It highlights Vancouver as a key hub for digital media and technology, offering data on employment trends, salary expectations, and industry growth. For UX/UI Designers seeking to navigate the Vancouver job market, this document offers context on the demand for design skills within the local ecosystem, helping professionals understand their value and career trajectory within the province.</w:t>
      </w:r>
    </w:p>
    <w:p>
      <w:pPr>
        <w:pStyle w:val="BodyText"/>
      </w:pPr>
      <w:r>
        <w:t xml:space="preserve">Interaction Design Association (IxDA). (2023).</w:t>
      </w:r>
      <w:r>
        <w:t xml:space="preserve"> </w:t>
      </w:r>
      <w:r>
        <w:rPr>
          <w:iCs/>
          <w:i/>
        </w:rPr>
        <w:t xml:space="preserve">Vancouver Chapter: Community Guidelines and Events</w:t>
      </w:r>
      <w:r>
        <w:t xml:space="preserve">. IxDA Vancouver.</w:t>
      </w:r>
    </w:p>
    <w:p>
      <w:pPr>
        <w:pStyle w:val="BodyText"/>
      </w:pPr>
      <w:r>
        <w:t xml:space="preserve">The IxDA Vancouver chapter is a central resource for networking and professional development for UX/UI Designers in the city. This resource outlines the community's focus on collaboration, knowledge sharing, and ethical design practices. Engaging with this community is essential for designers in Vancouver to stay updated on local trends, find mentorship, and connect with potential employers. The chapter's activities reflect the collaborative and innovative spirit of Vancouver's design scene.</w:t>
      </w:r>
    </w:p>
    <w:bookmarkEnd w:id="22"/>
    <w:bookmarkStart w:id="23" w:name="X82abd886087875340790fbeacd2168f0d8cd3dc"/>
    <w:p>
      <w:pPr>
        <w:pStyle w:val="Heading2"/>
      </w:pPr>
      <w:r>
        <w:t xml:space="preserve">Cultural Considerations and Ethical Design</w:t>
      </w:r>
    </w:p>
    <w:p>
      <w:pPr>
        <w:pStyle w:val="FirstParagraph"/>
      </w:pPr>
      <w:r>
        <w:t xml:space="preserve">Truth and Reconciliation Commission of Canada. (2015).</w:t>
      </w:r>
      <w:r>
        <w:t xml:space="preserve"> </w:t>
      </w:r>
      <w:r>
        <w:rPr>
          <w:iCs/>
          <w:i/>
        </w:rPr>
        <w:t xml:space="preserve">Call to Action #91: Digital Literacy and Indigenous Perspectives</w:t>
      </w:r>
      <w:r>
        <w:t xml:space="preserve">.</w:t>
      </w:r>
    </w:p>
    <w:p>
      <w:pPr>
        <w:pStyle w:val="BodyText"/>
      </w:pPr>
      <w:r>
        <w:t xml:space="preserve">This call to action is highly relevant for UX/UI Designers in Vancouver, a city with a significant Indigenous population and a strong commitment to reconciliation. It encourages the integration of Indigenous perspectives into digital media and education. Designers in this region are increasingly expected to consider cultural sensitivity and inclusivity in their work, ensuring that digital products respect and reflect the diverse cultural heritage of British Columbia's First Nations. This resource guides designers in creating more equitable and culturally responsive user experiences.</w:t>
      </w:r>
    </w:p>
    <w:p>
      <w:pPr>
        <w:pStyle w:val="BodyText"/>
      </w:pPr>
      <w:r>
        <w:t xml:space="preserve">Norman, D. A. (2013).</w:t>
      </w:r>
      <w:r>
        <w:t xml:space="preserve"> </w:t>
      </w:r>
      <w:r>
        <w:rPr>
          <w:iCs/>
          <w:i/>
        </w:rPr>
        <w:t xml:space="preserve">Design of Everyday Things: Revised and Expanded Edition</w:t>
      </w:r>
      <w:r>
        <w:t xml:space="preserve">. Basic Books.</w:t>
      </w:r>
    </w:p>
    <w:p>
      <w:pPr>
        <w:pStyle w:val="BodyText"/>
      </w:pPr>
      <w:r>
        <w:t xml:space="preserve">This classic text remains essential for UX/UI Designers in Vancouver, particularly as the city embraces smart city initiatives and IoT technologies. Norman's principles of visibility, feedback, and constraints are crucial for designing intuitive interfaces for complex systems. In a city known for its innovation in urban technology and sustainability, applying these principles ensures that digital tools are accessible and usable for all residents, supporting Vancouver's goals of livability and technological advancement.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Vancouver, Canada</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