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Frankfurt,</w:t>
      </w:r>
      <w:r>
        <w:t xml:space="preserve"> </w:t>
      </w:r>
      <w:r>
        <w:t xml:space="preserve">Germany</w:t>
      </w:r>
    </w:p>
    <w:bookmarkStart w:id="21" w:name="X513fe4400874d7162e66d9553f605ef1d6c099e"/>
    <w:p>
      <w:pPr>
        <w:pStyle w:val="Heading1"/>
      </w:pPr>
      <w:r>
        <w:t xml:space="preserve">Annotated Bibliography: UX/UI Design in Frankfurt, Germany</w:t>
      </w:r>
    </w:p>
    <w:p>
      <w:pPr>
        <w:pStyle w:val="FirstParagraph"/>
      </w:pPr>
      <w:r>
        <w:rPr>
          <w:bCs/>
          <w:b/>
        </w:rPr>
        <w:t xml:space="preserve">Introduction:</w:t>
      </w:r>
      <w:r>
        <w:t xml:space="preserve"> </w:t>
      </w:r>
      <w:r>
        <w:t xml:space="preserve">This annotated bibliography compiles essential resources regarding the role, responsibilities, and market dynamics of a UX/UI Designer within the specific context of Frankfurt, Germany. As a global financial hub and a growing center for digital innovation, Frankfurt presents unique challenges and opportunities for design professionals. The selected sources cover regulatory compliance (GDPR), cultural nuances in German user behavior, the intersection of fintech and design, and the local professional ecosystem. This document is intended to serve as a foundational guide for UX/UI designers seeking to establish or advance their careers in the Frankfurt region.</w:t>
      </w:r>
    </w:p>
    <w:bookmarkStart w:id="20" w:name="references"/>
    <w:p>
      <w:pPr>
        <w:pStyle w:val="Heading2"/>
      </w:pPr>
      <w:r>
        <w:t xml:space="preserve">References</w:t>
      </w:r>
    </w:p>
    <w:p>
      <w:pPr>
        <w:pStyle w:val="FirstParagraph"/>
      </w:pPr>
      <w:r>
        <w:t xml:space="preserve">Buxton, B. (2007).</w:t>
      </w:r>
      <w:r>
        <w:t xml:space="preserve"> </w:t>
      </w:r>
      <w:r>
        <w:rPr>
          <w:iCs/>
          <w:i/>
        </w:rPr>
        <w:t xml:space="preserve">Sketching User Experiences: Getting the Design Right and the Right Design</w:t>
      </w:r>
      <w:r>
        <w:t xml:space="preserve">. Morgan Kaufmann.</w:t>
      </w:r>
    </w:p>
    <w:p>
      <w:pPr>
        <w:pStyle w:val="BodyText"/>
      </w:pPr>
      <w:r>
        <w:t xml:space="preserve">While not specific to Frankfurt, Buxton’s seminal work is critical for any UX/UI Designer operating in Germany’s rigorous engineering culture. German stakeholders often prioritize precision and logical flow over rapid, unstructured ideation. This text provides methodologies for sketching that bridge the gap between creative exploration and the structured documentation required by German development teams. For a designer in Frankfurt, mastering these techniques is essential for communicating complex user flows to technical teams in the city’s prominent banking and logistics sectors.</w:t>
      </w:r>
    </w:p>
    <w:p>
      <w:pPr>
        <w:pStyle w:val="BodyText"/>
      </w:pPr>
      <w:r>
        <w:t xml:space="preserve">European Commission. (2018).</w:t>
      </w:r>
      <w:r>
        <w:t xml:space="preserve"> </w:t>
      </w:r>
      <w:r>
        <w:rPr>
          <w:iCs/>
          <w:i/>
        </w:rPr>
        <w:t xml:space="preserve">General Data Protection Regulation (GDPR): Official Text and Guidelines</w:t>
      </w:r>
      <w:r>
        <w:t xml:space="preserve">. Publications Office of the European Union.</w:t>
      </w:r>
    </w:p>
    <w:p>
      <w:pPr>
        <w:pStyle w:val="BodyText"/>
      </w:pPr>
      <w:r>
        <w:t xml:space="preserve">For a UX/UI Designer in Frankfurt, understanding the GDPR is not merely legal compliance but a core design constraint. Frankfurt hosts the European Central Bank and numerous major financial institutions, making data privacy paramount. This resource outlines the legal framework that dictates how user data is collected, displayed, and stored. Designers must use this text to inform interface decisions regarding consent forms, cookie banners, and data transparency features. Ignoring these guidelines can lead to severe penalties for Frankfurt-based companies, making this a mandatory reference for local UI design.</w:t>
      </w:r>
    </w:p>
    <w:p>
      <w:pPr>
        <w:pStyle w:val="BodyText"/>
      </w:pPr>
      <w:r>
        <w:t xml:space="preserve">German Design Council (Rat für Formgebung). (2021).</w:t>
      </w:r>
      <w:r>
        <w:t xml:space="preserve"> </w:t>
      </w:r>
      <w:r>
        <w:rPr>
          <w:iCs/>
          <w:i/>
        </w:rPr>
        <w:t xml:space="preserve">Design in Germany: Trends and Cultural Values</w:t>
      </w:r>
      <w:r>
        <w:t xml:space="preserve">. Berlin: Rat für Formgebung.</w:t>
      </w:r>
    </w:p>
    <w:p>
      <w:pPr>
        <w:pStyle w:val="BodyText"/>
      </w:pPr>
      <w:r>
        <w:t xml:space="preserve">This publication offers deep insights into the cultural values that influence user expectations in Germany. It highlights the German preference for functionality, clarity, and honesty in design—often summarized by the phrase "Form follows function." For a UX/UI Designer working in Frankfurt, this resource is vital for avoiding "over-designed" interfaces that may be perceived as untrustworthy by local users. It guides designers in creating clean, efficient, and accessible user interfaces that resonate with the German mindset, particularly in the conservative financial sector of Frankfurt.</w:t>
      </w:r>
    </w:p>
    <w:p>
      <w:pPr>
        <w:pStyle w:val="BodyText"/>
      </w:pPr>
      <w:r>
        <w:t xml:space="preserve">Hasso Plattner Institute. (2022).</w:t>
      </w:r>
      <w:r>
        <w:t xml:space="preserve"> </w:t>
      </w:r>
      <w:r>
        <w:rPr>
          <w:iCs/>
          <w:i/>
        </w:rPr>
        <w:t xml:space="preserve">Human-Centered Design in Fintech: Case Studies from the Rhine-Main Region</w:t>
      </w:r>
      <w:r>
        <w:t xml:space="preserve">. Potsdam: HPI Press.</w:t>
      </w:r>
    </w:p>
    <w:p>
      <w:pPr>
        <w:pStyle w:val="BodyText"/>
      </w:pPr>
      <w:r>
        <w:t xml:space="preserve">This academic report focuses specifically on the application of human-centered design principles within the financial technology sector in the Rhine-Main area, which includes Frankfurt. It provides case studies of how UX/UI designers are simplifying complex banking processes for German users. The document is highly relevant for designers aiming to work with Frankfurt’s fintech startups or traditional banks undergoing digital transformation. It offers practical examples of balancing regulatory requirements with intuitive user experiences in a high-stakes financial environment.</w:t>
      </w:r>
    </w:p>
    <w:p>
      <w:pPr>
        <w:pStyle w:val="BodyText"/>
      </w:pPr>
      <w:r>
        <w:t xml:space="preserve">Nielsen Norman Group. (2020).</w:t>
      </w:r>
      <w:r>
        <w:t xml:space="preserve"> </w:t>
      </w:r>
      <w:r>
        <w:rPr>
          <w:iCs/>
          <w:i/>
        </w:rPr>
        <w:t xml:space="preserve">Cultural Differences in Web Design: A Global Perspective</w:t>
      </w:r>
      <w:r>
        <w:t xml:space="preserve">. NN/g.</w:t>
      </w:r>
    </w:p>
    <w:p>
      <w:pPr>
        <w:pStyle w:val="BodyText"/>
      </w:pPr>
      <w:r>
        <w:t xml:space="preserve">This article from the Nielsen Norman Group analyzes how cultural dimensions affect web usability. It specifically addresses the German market, noting a high need for cognitive closure and a preference for detailed information. For a UX/UI Designer in Frankfurt, this resource is crucial for tailoring content strategy and information architecture. It advises against the minimalist "less is more" approach common in the US, suggesting instead that German users prefer comprehensive information and clear navigation structures. This insight is directly applicable to designing corporate websites and digital services for Frankfurt’s international yet culturally rooted audience.</w:t>
      </w:r>
    </w:p>
    <w:p>
      <w:pPr>
        <w:pStyle w:val="BodyText"/>
      </w:pPr>
      <w:r>
        <w:t xml:space="preserve">Frankfurt University of Applied Sciences (FH Frankfurt). (2023).</w:t>
      </w:r>
      <w:r>
        <w:t xml:space="preserve"> </w:t>
      </w:r>
      <w:r>
        <w:rPr>
          <w:iCs/>
          <w:i/>
        </w:rPr>
        <w:t xml:space="preserve">Digital Transformation in the Financial Sector: The Role of UX</w:t>
      </w:r>
      <w:r>
        <w:t xml:space="preserve">. Frankfurt am Main: FH Frankfurt.</w:t>
      </w:r>
    </w:p>
    <w:p>
      <w:pPr>
        <w:pStyle w:val="BodyText"/>
      </w:pPr>
      <w:r>
        <w:t xml:space="preserve">This local academic resource examines the specific challenges of digital transformation within Frankfurt’s financial industry. It highlights the tension between legacy systems and modern UX expectations. For a UX/UI Designer, this document provides context on the technical limitations and organizational structures they may encounter when working with established Frankfurt banks. It emphasizes the importance of stakeholder management and the ability to advocate for user-centric design within traditional corporate hierarchies, a common scenario in the city’s job market.</w:t>
      </w:r>
    </w:p>
    <w:p>
      <w:pPr>
        <w:pStyle w:val="BodyText"/>
      </w:pPr>
      <w:r>
        <w:t xml:space="preserve">German Association for Quality Assurance (ZVEI). (2019).</w:t>
      </w:r>
      <w:r>
        <w:t xml:space="preserve"> </w:t>
      </w:r>
      <w:r>
        <w:rPr>
          <w:iCs/>
          <w:i/>
        </w:rPr>
        <w:t xml:space="preserve">Accessibility Standards for Digital Products in Germany</w:t>
      </w:r>
      <w:r>
        <w:t xml:space="preserve">. Frankfurt: ZVEI.</w:t>
      </w:r>
    </w:p>
    <w:p>
      <w:pPr>
        <w:pStyle w:val="BodyText"/>
      </w:pPr>
      <w:r>
        <w:t xml:space="preserve">Accessibility is a legal and ethical priority in Germany. This document outlines the national standards for digital accessibility, which often exceed international norms. For a UX/UI Designer in Frankfurt, compliance with these standards is non-negotiable, especially for public sector projects and large corporations. The resource provides detailed guidelines on color contrast, keyboard navigation, and screen reader compatibility. It serves as a practical checklist for ensuring that designs are inclusive and legally compliant within the German market.</w:t>
      </w:r>
    </w:p>
    <w:p>
      <w:pPr>
        <w:pStyle w:val="BodyText"/>
      </w:pPr>
      <w:r>
        <w:t xml:space="preserve">UXPA Germany. (2022).</w:t>
      </w:r>
      <w:r>
        <w:t xml:space="preserve"> </w:t>
      </w:r>
      <w:r>
        <w:rPr>
          <w:iCs/>
          <w:i/>
        </w:rPr>
        <w:t xml:space="preserve">State of UX in Germany: Salary, Skills, and Market Trends</w:t>
      </w:r>
      <w:r>
        <w:t xml:space="preserve">. UXPA Germany.</w:t>
      </w:r>
    </w:p>
    <w:p>
      <w:pPr>
        <w:pStyle w:val="BodyText"/>
      </w:pPr>
      <w:r>
        <w:t xml:space="preserve">This industry report provides a snapshot of the UX profession in Germany, with specific data on the Frankfurt job market. It details the most in-demand skills, such as proficiency in German language, understanding of local regulations, and experience with agile methodologies. For a UX/UI Designer considering a move to or career advancement in Frankfurt, this document offers valuable career guidance. It highlights the growing demand for designers who can bridge the gap between technical engineering teams and business stakeholders, a key role in Frankfurt’s tech ecosystem.</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Frankfurt, Germany</dc:title>
  <dc:creator/>
  <dc:language>en</dc:language>
  <cp:keywords/>
  <dcterms:created xsi:type="dcterms:W3CDTF">2026-08-07T03:02:18Z</dcterms:created>
  <dcterms:modified xsi:type="dcterms:W3CDTF">2026-08-07T03:02:18Z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