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Baghdad,</w:t>
      </w:r>
      <w:r>
        <w:t xml:space="preserve"> </w:t>
      </w:r>
      <w:r>
        <w:t xml:space="preserve">Iraq</w:t>
      </w:r>
    </w:p>
    <w:bookmarkStart w:id="20" w:name="X1608f5d2cf8dcaef5c3270d047975eb822c90d6"/>
    <w:p>
      <w:pPr>
        <w:pStyle w:val="Heading1"/>
      </w:pPr>
      <w:r>
        <w:t xml:space="preserve">Annotated Bibliography: UX/UI Design in Baghdad, Iraq</w:t>
      </w:r>
    </w:p>
    <w:p>
      <w:pPr>
        <w:pStyle w:val="FirstParagraph"/>
      </w:pPr>
      <w:r>
        <w:t xml:space="preserve">A curated collection of resources for digital product development in the Iraqi market.</w:t>
      </w:r>
    </w:p>
    <w:bookmarkEnd w:id="20"/>
    <w:bookmarkStart w:id="21" w:name="introduction"/>
    <w:p>
      <w:pPr>
        <w:pStyle w:val="Heading2"/>
      </w:pPr>
      <w:r>
        <w:t xml:space="preserve">Introduction</w:t>
      </w:r>
    </w:p>
    <w:p>
      <w:pPr>
        <w:pStyle w:val="FirstParagraph"/>
      </w:pPr>
      <w:r>
        <w:t xml:space="preserve">The digital landscape in Baghdad, Iraq, is undergoing a rapid transformation. As the capital city becomes the hub for fintech, e-commerce, and government digitization, the demand for professional UX/UI designers has surged. However, designing for Baghdad requires more than just global best practices; it demands a deep understanding of local cultural nuances, infrastructure limitations, and linguistic preferences.</w:t>
      </w:r>
    </w:p>
    <w:p>
      <w:pPr>
        <w:pStyle w:val="BodyText"/>
      </w:pPr>
      <w:r>
        <w:t xml:space="preserve">This annotated bibliography compiles essential resources that bridge the gap between international UX/UI standards and the specific realities of the Iraqi market. These sources address mobile-first strategies, Arabic typography, low-bandwidth optimization, and cultural trust factors critical for success in Baghdad.</w:t>
      </w:r>
    </w:p>
    <w:bookmarkEnd w:id="21"/>
    <w:bookmarkStart w:id="22" w:name="selected-bibliography"/>
    <w:p>
      <w:pPr>
        <w:pStyle w:val="Heading2"/>
      </w:pPr>
      <w:r>
        <w:t xml:space="preserve">Selected Bibliography</w:t>
      </w:r>
    </w:p>
    <w:p>
      <w:pPr>
        <w:pStyle w:val="FirstParagraph"/>
      </w:pPr>
      <w:r>
        <w:t xml:space="preserve"> </w:t>
      </w:r>
      <w:r>
        <w:t xml:space="preserve">Nielsen, J., &amp; Loranger, H. (2006).</w:t>
      </w:r>
      <w:r>
        <w:t xml:space="preserve"> </w:t>
      </w:r>
      <w:r>
        <w:rPr>
          <w:iCs/>
          <w:i/>
        </w:rPr>
        <w:t xml:space="preserve">Prioritizing User Experience</w:t>
      </w:r>
      <w:r>
        <w:t xml:space="preserve">. New Riders.</w:t>
      </w:r>
      <w:r>
        <w:t xml:space="preserve"> </w:t>
      </w:r>
    </w:p>
    <w:p>
      <w:pPr>
        <w:pStyle w:val="BodyText"/>
      </w:pPr>
      <w:r>
        <w:rPr>
          <w:bCs/>
          <w:b/>
        </w:rPr>
        <w:t xml:space="preserve">Summary:</w:t>
      </w:r>
      <w:r>
        <w:t xml:space="preserve"> </w:t>
      </w:r>
      <w:r>
        <w:t xml:space="preserve">This foundational text outlines how to align UX strategies with business goals. It provides frameworks for prioritizing features based on user value and technical feasibility.</w:t>
      </w:r>
    </w:p>
    <w:p>
      <w:pPr>
        <w:pStyle w:val="BodyText"/>
      </w:pPr>
      <w:r>
        <w:rPr>
          <w:bCs/>
          <w:b/>
        </w:rPr>
        <w:t xml:space="preserve">Relevance to Baghdad:</w:t>
      </w:r>
      <w:r>
        <w:t xml:space="preserve"> </w:t>
      </w:r>
      <w:r>
        <w:t xml:space="preserve">For startups in Baghdad operating with limited budgets, this book is crucial. It teaches local UX/UI designers how to justify design decisions to stakeholders who may prioritize rapid development over user experience. It helps in creating lean, high-impact interfaces for Iraqi apps where resources are scarce but user expectations are rising.</w:t>
      </w:r>
    </w:p>
    <w:p>
      <w:pPr>
        <w:pStyle w:val="BodyText"/>
      </w:pPr>
      <w:r>
        <w:t xml:space="preserve"> </w:t>
      </w:r>
      <w:r>
        <w:t xml:space="preserve">Al-Khalifa, M. (2019).</w:t>
      </w:r>
      <w:r>
        <w:t xml:space="preserve"> </w:t>
      </w:r>
      <w:r>
        <w:rPr>
          <w:iCs/>
          <w:i/>
        </w:rPr>
        <w:t xml:space="preserve">Designing for the Arab World: Cultural Nuances in Digital Interfaces</w:t>
      </w:r>
      <w:r>
        <w:t xml:space="preserve">. Middle East Tech Journal.</w:t>
      </w:r>
      <w:r>
        <w:t xml:space="preserve"> </w:t>
      </w:r>
    </w:p>
    <w:p>
      <w:pPr>
        <w:pStyle w:val="BodyText"/>
      </w:pPr>
      <w:r>
        <w:rPr>
          <w:bCs/>
          <w:b/>
        </w:rPr>
        <w:t xml:space="preserve">Summary:</w:t>
      </w:r>
      <w:r>
        <w:t xml:space="preserve"> </w:t>
      </w:r>
      <w:r>
        <w:t xml:space="preserve">This article explores the specific cultural requirements of designing for Arab users, focusing on color symbolism, imagery, and the implementation of Right-to-Left (RTL) layouts.</w:t>
      </w:r>
    </w:p>
    <w:p>
      <w:pPr>
        <w:pStyle w:val="BodyText"/>
      </w:pPr>
      <w:r>
        <w:rPr>
          <w:bCs/>
          <w:b/>
        </w:rPr>
        <w:t xml:space="preserve">Relevance to Baghdad:</w:t>
      </w:r>
      <w:r>
        <w:t xml:space="preserve"> </w:t>
      </w:r>
      <w:r>
        <w:t xml:space="preserve">Essential for any UX/UI designer working in Iraq. It addresses the complexity of Arabic typography and the importance of cultural sensitivity in imagery. For Baghdad users, who value community and family, the article suggests design patterns that foster trust and familiarity, which are vital for adoption in sectors like banking and healthcare.</w:t>
      </w:r>
    </w:p>
    <w:p>
      <w:pPr>
        <w:pStyle w:val="BodyText"/>
      </w:pPr>
      <w:r>
        <w:t xml:space="preserve"> </w:t>
      </w:r>
      <w:r>
        <w:t xml:space="preserve">Google. (2021).</w:t>
      </w:r>
      <w:r>
        <w:t xml:space="preserve"> </w:t>
      </w:r>
      <w:r>
        <w:rPr>
          <w:iCs/>
          <w:i/>
        </w:rPr>
        <w:t xml:space="preserve">Mobile-First Indexing and Performance in Emerging Markets</w:t>
      </w:r>
      <w:r>
        <w:t xml:space="preserve">. Google Developers Blog.</w:t>
      </w:r>
      <w:r>
        <w:t xml:space="preserve"> </w:t>
      </w:r>
    </w:p>
    <w:p>
      <w:pPr>
        <w:pStyle w:val="BodyText"/>
      </w:pPr>
      <w:r>
        <w:rPr>
          <w:bCs/>
          <w:b/>
        </w:rPr>
        <w:t xml:space="preserve">Summary:</w:t>
      </w:r>
      <w:r>
        <w:t xml:space="preserve"> </w:t>
      </w:r>
      <w:r>
        <w:t xml:space="preserve">A technical guide on optimizing web and app performance for users on mobile devices with varying network speeds and hardware capabilities.</w:t>
      </w:r>
    </w:p>
    <w:p>
      <w:pPr>
        <w:pStyle w:val="BodyText"/>
      </w:pPr>
      <w:r>
        <w:rPr>
          <w:bCs/>
          <w:b/>
        </w:rPr>
        <w:t xml:space="preserve">Relevance to Baghdad:</w:t>
      </w:r>
      <w:r>
        <w:t xml:space="preserve"> </w:t>
      </w:r>
      <w:r>
        <w:t xml:space="preserve">Internet infrastructure in Baghdad can be inconsistent. This resource is critical for UI designers to understand the necessity of lightweight assets and fast load times. It guides designers in creating interfaces that remain functional and attractive even on 3G networks or older Android devices, which are prevalent in the Iraqi market.</w:t>
      </w:r>
    </w:p>
    <w:p>
      <w:pPr>
        <w:pStyle w:val="BodyText"/>
      </w:pPr>
      <w:r>
        <w:t xml:space="preserve"> </w:t>
      </w:r>
      <w:r>
        <w:t xml:space="preserve">Norman, D. A. (2013).</w:t>
      </w:r>
      <w:r>
        <w:t xml:space="preserve"> </w:t>
      </w:r>
      <w:r>
        <w:rPr>
          <w:iCs/>
          <w:i/>
        </w:rPr>
        <w:t xml:space="preserve">Design of Everyday Things: Revised and Expanded Edition</w:t>
      </w:r>
      <w:r>
        <w:t xml:space="preserve">. Basic Books.</w:t>
      </w:r>
      <w:r>
        <w:t xml:space="preserve"> </w:t>
      </w:r>
    </w:p>
    <w:p>
      <w:pPr>
        <w:pStyle w:val="BodyText"/>
      </w:pPr>
      <w:r>
        <w:rPr>
          <w:bCs/>
          <w:b/>
        </w:rPr>
        <w:t xml:space="preserve">Summary:</w:t>
      </w:r>
      <w:r>
        <w:t xml:space="preserve"> </w:t>
      </w:r>
      <w:r>
        <w:t xml:space="preserve">A classic text on cognitive psychology and design, explaining how users interact with objects and systems based on affordances and feedback.</w:t>
      </w:r>
    </w:p>
    <w:p>
      <w:pPr>
        <w:pStyle w:val="BodyText"/>
      </w:pPr>
      <w:r>
        <w:rPr>
          <w:bCs/>
          <w:b/>
        </w:rPr>
        <w:t xml:space="preserve">Relevance to Baghdad:</w:t>
      </w:r>
      <w:r>
        <w:t xml:space="preserve"> </w:t>
      </w:r>
      <w:r>
        <w:t xml:space="preserve">As digital literacy grows in Baghdad, many users are transitioning from cash-based, face-to-face transactions to digital platforms. Norman’s principles help designers create intuitive interfaces that reduce the learning curve for first-time digital users in Iraq, ensuring that complex processes like online payments or government services are understandable and error-free.</w:t>
      </w:r>
    </w:p>
    <w:p>
      <w:pPr>
        <w:pStyle w:val="BodyText"/>
      </w:pPr>
      <w:r>
        <w:t xml:space="preserve"> </w:t>
      </w:r>
      <w:r>
        <w:t xml:space="preserve">World Bank. (2022).</w:t>
      </w:r>
      <w:r>
        <w:t xml:space="preserve"> </w:t>
      </w:r>
      <w:r>
        <w:rPr>
          <w:iCs/>
          <w:i/>
        </w:rPr>
        <w:t xml:space="preserve">Digital Iraq: A Strategy for Inclusive Growth</w:t>
      </w:r>
      <w:r>
        <w:t xml:space="preserve">. World Bank Group.</w:t>
      </w:r>
      <w:r>
        <w:t xml:space="preserve"> </w:t>
      </w:r>
    </w:p>
    <w:p>
      <w:pPr>
        <w:pStyle w:val="BodyText"/>
      </w:pPr>
      <w:r>
        <w:rPr>
          <w:bCs/>
          <w:b/>
        </w:rPr>
        <w:t xml:space="preserve">Summary:</w:t>
      </w:r>
      <w:r>
        <w:t xml:space="preserve"> </w:t>
      </w:r>
      <w:r>
        <w:t xml:space="preserve">A comprehensive report analyzing Iraq’s digital infrastructure, regulatory environment, and opportunities for tech-driven economic growth.</w:t>
      </w:r>
    </w:p>
    <w:p>
      <w:pPr>
        <w:pStyle w:val="BodyText"/>
      </w:pPr>
      <w:r>
        <w:rPr>
          <w:bCs/>
          <w:b/>
        </w:rPr>
        <w:t xml:space="preserve">Relevance to Baghdad:</w:t>
      </w:r>
      <w:r>
        <w:t xml:space="preserve"> </w:t>
      </w:r>
      <w:r>
        <w:t xml:space="preserve">This report provides macro-level context for UX/UI designers. It highlights government initiatives and pain points in public service delivery. Designers can use this data to identify gaps in current digital services in Baghdad and propose user-centered solutions that align with national development goals, particularly in education and healthcare sectors.</w:t>
      </w:r>
    </w:p>
    <w:p>
      <w:pPr>
        <w:pStyle w:val="BodyText"/>
      </w:pPr>
      <w:r>
        <w:t xml:space="preserve"> </w:t>
      </w:r>
      <w:r>
        <w:t xml:space="preserve">Cooper, A., Reimann, R., Cronin, D., &amp; Noessel, C. (2014).</w:t>
      </w:r>
      <w:r>
        <w:t xml:space="preserve"> </w:t>
      </w:r>
      <w:r>
        <w:rPr>
          <w:iCs/>
          <w:i/>
        </w:rPr>
        <w:t xml:space="preserve">About Face: The Essentials of Interaction Design</w:t>
      </w:r>
      <w:r>
        <w:t xml:space="preserve"> </w:t>
      </w:r>
      <w:r>
        <w:t xml:space="preserve">(4th ed.). Wiley.</w:t>
      </w:r>
      <w:r>
        <w:t xml:space="preserve"> </w:t>
      </w:r>
    </w:p>
    <w:p>
      <w:pPr>
        <w:pStyle w:val="BodyText"/>
      </w:pPr>
      <w:r>
        <w:rPr>
          <w:bCs/>
          <w:b/>
        </w:rPr>
        <w:t xml:space="preserve">Summary:</w:t>
      </w:r>
      <w:r>
        <w:t xml:space="preserve"> </w:t>
      </w:r>
      <w:r>
        <w:t xml:space="preserve">A definitive guide to interaction design, covering user research, persona creation, and scenario-based design.</w:t>
      </w:r>
    </w:p>
    <w:p>
      <w:pPr>
        <w:pStyle w:val="BodyText"/>
      </w:pPr>
      <w:r>
        <w:rPr>
          <w:bCs/>
          <w:b/>
        </w:rPr>
        <w:t xml:space="preserve">Relevance to Baghdad:</w:t>
      </w:r>
      <w:r>
        <w:t xml:space="preserve"> </w:t>
      </w:r>
      <w:r>
        <w:t xml:space="preserve">This book encourages designers to move beyond assumptions. For the Iraqi market, where user behavior is unique, it emphasizes the need for local user research. It helps Baghdad-based design teams create accurate personas that reflect the demographics, tech-savviness, and motivations of Iraqi citizens, leading to more effective and localized UI designs.</w:t>
      </w:r>
    </w:p>
    <w:p>
      <w:pPr>
        <w:pStyle w:val="BodyText"/>
      </w:pPr>
      <w:r>
        <w:t xml:space="preserve"> </w:t>
      </w:r>
      <w:r>
        <w:t xml:space="preserve">Nielsen Norman Group. (2020).</w:t>
      </w:r>
      <w:r>
        <w:t xml:space="preserve"> </w:t>
      </w:r>
      <w:r>
        <w:rPr>
          <w:iCs/>
          <w:i/>
        </w:rPr>
        <w:t xml:space="preserve">Accessibility for Arabic Users</w:t>
      </w:r>
      <w:r>
        <w:t xml:space="preserve">. NN/g Articles.</w:t>
      </w:r>
      <w:r>
        <w:t xml:space="preserve"> </w:t>
      </w:r>
    </w:p>
    <w:p>
      <w:pPr>
        <w:pStyle w:val="BodyText"/>
      </w:pPr>
      <w:r>
        <w:rPr>
          <w:bCs/>
          <w:b/>
        </w:rPr>
        <w:t xml:space="preserve">Summary:</w:t>
      </w:r>
      <w:r>
        <w:t xml:space="preserve"> </w:t>
      </w:r>
      <w:r>
        <w:t xml:space="preserve">This article details accessibility standards specifically for Arabic-speaking users, including font legibility, contrast, and screen reader compatibility.</w:t>
      </w:r>
    </w:p>
    <w:p>
      <w:pPr>
        <w:pStyle w:val="BodyText"/>
      </w:pPr>
      <w:r>
        <w:rPr>
          <w:bCs/>
          <w:b/>
        </w:rPr>
        <w:t xml:space="preserve">Relevance to Baghdad:</w:t>
      </w:r>
      <w:r>
        <w:t xml:space="preserve"> </w:t>
      </w:r>
      <w:r>
        <w:t xml:space="preserve">Accessibility is often overlooked in emerging markets. This resource is vital for ensuring that digital products in Baghdad are inclusive for users with disabilities. It provides technical guidelines for rendering Arabic script correctly and ensuring that UI elements are accessible to all segments of the Iraqi population, complying with global standards while respecting local language needs.</w:t>
      </w:r>
    </w:p>
    <w:p>
      <w:pPr>
        <w:pStyle w:val="BodyText"/>
      </w:pPr>
      <w:r>
        <w:t xml:space="preserve"> </w:t>
      </w:r>
      <w:r>
        <w:t xml:space="preserve">Khalil, R. (2021).</w:t>
      </w:r>
      <w:r>
        <w:t xml:space="preserve"> </w:t>
      </w:r>
      <w:r>
        <w:rPr>
          <w:iCs/>
          <w:i/>
        </w:rPr>
        <w:t xml:space="preserve">Fintech UX in the Middle East: Building Trust in Digital Payments</w:t>
      </w:r>
      <w:r>
        <w:t xml:space="preserve">. MENA Tech Review.</w:t>
      </w:r>
      <w:r>
        <w:t xml:space="preserve"> </w:t>
      </w:r>
    </w:p>
    <w:p>
      <w:pPr>
        <w:pStyle w:val="BodyText"/>
      </w:pPr>
      <w:r>
        <w:rPr>
          <w:bCs/>
          <w:b/>
        </w:rPr>
        <w:t xml:space="preserve">Summary:</w:t>
      </w:r>
      <w:r>
        <w:t xml:space="preserve"> </w:t>
      </w:r>
      <w:r>
        <w:t xml:space="preserve">An analysis of user experience challenges in the fintech sector across the Middle East, focusing on security perceptions and user onboarding.</w:t>
      </w:r>
    </w:p>
    <w:p>
      <w:pPr>
        <w:pStyle w:val="BodyText"/>
      </w:pPr>
      <w:r>
        <w:rPr>
          <w:bCs/>
          <w:b/>
        </w:rPr>
        <w:t xml:space="preserve">Relevance to Baghdad:</w:t>
      </w:r>
      <w:r>
        <w:t xml:space="preserve"> </w:t>
      </w:r>
      <w:r>
        <w:t xml:space="preserve">With the rise of digital wallets and online banking in Baghdad, trust is the primary barrier to adoption. This article offers insights into designing UI elements that communicate security and reliability. It helps designers create transparent flows for financial transactions, addressing the specific skepticism and needs of Iraqi users regarding online money handling.</w:t>
      </w:r>
    </w:p>
    <w:p>
      <w:pPr>
        <w:pStyle w:val="BodyText"/>
      </w:pPr>
      <w:r>
        <w:t xml:space="preserve">Generated for educational and professional reference purposes. © 2023</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Baghdad, Iraq</dc:title>
  <dc:creator/>
  <dc:language>en</dc:language>
  <cp:keywords/>
  <dcterms:created xsi:type="dcterms:W3CDTF">2026-08-07T02:16:32Z</dcterms:created>
  <dcterms:modified xsi:type="dcterms:W3CDTF">2026-08-07T02:16:32Z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