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Kyoto,</w:t>
      </w:r>
      <w:r>
        <w:t xml:space="preserve"> </w:t>
      </w:r>
      <w:r>
        <w:t xml:space="preserve">Japan</w:t>
      </w:r>
    </w:p>
    <w:bookmarkStart w:id="21" w:name="X00ea36978c6fa1613748f3f2d2ded4a237a3abf"/>
    <w:p>
      <w:pPr>
        <w:pStyle w:val="Heading1"/>
      </w:pPr>
      <w:r>
        <w:t xml:space="preserve">Annotated Bibliography: UX/UI Design in Kyoto, Japan</w:t>
      </w:r>
    </w:p>
    <w:p>
      <w:pPr>
        <w:pStyle w:val="FirstParagraph"/>
      </w:pPr>
      <w:r>
        <w:t xml:space="preserve">This annotated bibliography compiles essential resources for UX/UI designers operating within the unique cultural and technological landscape of Kyoto, Japan. Kyoto presents a distinct challenge and opportunity for digital product design. As a city deeply rooted in tradition, aesthetics, and hospitality (omotenashi), yet increasingly integrated into Japan's digital economy, it requires a nuanced approach to user experience. The selected works below explore the intersection of Japanese cultural psychology, accessibility standards, mobile-first ecosystems, and the specific expectations of users in the Kansai region. These resources are critical for designers aiming to create interfaces that resonate with local sensibilities while meeting global usability standards.</w:t>
      </w:r>
    </w:p>
    <w:bookmarkStart w:id="20" w:name="selected-references"/>
    <w:p>
      <w:pPr>
        <w:pStyle w:val="Heading2"/>
      </w:pPr>
      <w:r>
        <w:t xml:space="preserve">Selected References</w:t>
      </w:r>
    </w:p>
    <w:p>
      <w:pPr>
        <w:pStyle w:val="FirstParagraph"/>
      </w:pPr>
      <w:r>
        <w:t xml:space="preserve">Kurosu, M., &amp; Kashimura, M. (1995). Apparent usability vs. inherent usability. Proceedings of the SIGCHI Conference on Human Factors in Computing Systems, 2, 223-228.</w:t>
      </w:r>
    </w:p>
    <w:p>
      <w:pPr>
        <w:pStyle w:val="BodyText"/>
      </w:pPr>
      <w:r>
        <w:t xml:space="preserve">This seminal paper is foundational for any UX/UI designer working in Japan. Kurosu and Kashimura introduce the concept that "apparent usability" (aesthetics) is often perceived as "inherent usability" (functionality) by Japanese users. In the context of Kyoto, where visual refinement and subtlety are culturally prized, this research validates the necessity of high-fidelity, aesthetically pleasing interfaces. For a designer in Kyoto, this suggests that investing in visual polish is not merely decorative but a functional requirement to establish user trust. The study provides empirical evidence that Japanese users are more likely to judge a system's ease of use based on its visual appeal compared to Western counterparts, a critical insight for UI design strategies in the region.</w:t>
      </w:r>
    </w:p>
    <w:p>
      <w:pPr>
        <w:pStyle w:val="BodyText"/>
      </w:pPr>
      <w:r>
        <w:t xml:space="preserve">Nardi, B. A., &amp; Whittaker, S. (2002). Information sharing in Japanese organizations: The role of technology and culture. Journal of Computer-Mediated Communication, 8(1).</w:t>
      </w:r>
    </w:p>
    <w:p>
      <w:pPr>
        <w:pStyle w:val="BodyText"/>
      </w:pPr>
      <w:r>
        <w:t xml:space="preserve">Understanding the cultural context of information consumption is vital for UX design in Japan. Nardi and Whittaker explore how Japanese organizational culture influences information sharing and technology adoption. For a UX/UI designer in Kyoto, particularly those designing B2B tools or enterprise software, this resource highlights the importance of hierarchy and group consensus in user flows. The design must accommodate collaborative decision-making processes and respect social hierarchies. This paper aids designers in creating interfaces that facilitate "nemawashi" (consensus building) rather than forcing individualistic, rapid decision-making patterns common in Western UX paradigms.</w:t>
      </w:r>
    </w:p>
    <w:p>
      <w:pPr>
        <w:pStyle w:val="BodyText"/>
      </w:pPr>
      <w:r>
        <w:t xml:space="preserve">Japan Accessibility Forum. (2021). Web Content Accessibility Guidelines (WCAG) 2.1 Implementation Guide for Japan.</w:t>
      </w:r>
    </w:p>
    <w:p>
      <w:pPr>
        <w:pStyle w:val="BodyText"/>
      </w:pPr>
      <w:r>
        <w:t xml:space="preserve">Accessibility is a legal and ethical imperative in Japan, especially in a city like Kyoto with a significant elderly population. This guide adapts international WCAG standards to the Japanese context, addressing specific challenges related to the Japanese language (Kanji, Hiragana, Katakana) and screen reader compatibility. For a UX/UI designer in Kyoto, this document is indispensable for ensuring that digital products are inclusive. It provides technical specifications for font rendering, color contrast, and navigation structures that cater to users with visual impairments. Ignoring these guidelines can result in exclusion of a key demographic in Kyoto’s tourism and local service sectors.</w:t>
      </w:r>
    </w:p>
    <w:p>
      <w:pPr>
        <w:pStyle w:val="BodyText"/>
      </w:pPr>
      <w:r>
        <w:t xml:space="preserve">Ishii, H., &amp; Ullmer, B. (1997). Tangible bits: Towards seamless interfaces between people, bits and atoms. Proceedings of the SIGCHI Conference on Human Factors in Computing Systems, 234-241.</w:t>
      </w:r>
    </w:p>
    <w:p>
      <w:pPr>
        <w:pStyle w:val="BodyText"/>
      </w:pPr>
      <w:r>
        <w:t xml:space="preserve">Hiroshi Ishii, a prominent figure in Japanese interaction design, explores the concept of "Tangible Bits," which bridges the physical and digital worlds. This philosophy is highly relevant to Kyoto, a city where physical craftsmanship and digital innovation coexist. For a UX/UI designer, this work inspires the creation of interfaces that feel natural and grounded, rather than abstract. In Kyoto, where users value tactile experiences and authenticity, UI elements that mimic physical interactions or integrate with IoT devices can enhance user satisfaction. This resource encourages designers to think beyond the screen, considering how digital interfaces can complement the physical environment of Kyoto’s shops, temples, and homes.</w:t>
      </w:r>
    </w:p>
    <w:p>
      <w:pPr>
        <w:pStyle w:val="BodyText"/>
      </w:pPr>
      <w:r>
        <w:t xml:space="preserve">Mori, M. (1970). The uncanny valley. Energy, 7(4), 33-35. (Translated and expanded in various HCI journals).</w:t>
      </w:r>
    </w:p>
    <w:p>
      <w:pPr>
        <w:pStyle w:val="BodyText"/>
      </w:pPr>
      <w:r>
        <w:t xml:space="preserve">Masahiro Mori’s theory of the "Uncanny Valley" is crucial for UX/UI designers in Japan, particularly when dealing with avatars, chatbots, or highly realistic illustrations. Japanese users are highly sensitive to the realism of digital representations. In Kyoto, where traditional art forms emphasize stylization over hyper-realism, this theory suggests that UI elements should either be clearly abstract or perfectly realistic. Avoiding the "uncanny" middle ground is essential to prevent user discomfort. This resource guides designers in selecting appropriate visual styles for characters and icons, ensuring they align with Japanese aesthetic expectations and avoid triggering subconscious unease.</w:t>
      </w:r>
    </w:p>
    <w:p>
      <w:pPr>
        <w:pStyle w:val="BodyText"/>
      </w:pPr>
      <w:r>
        <w:t xml:space="preserve">NTT Docomo. (2020). Mobile UX Design Guidelines for Japanese Users.</w:t>
      </w:r>
    </w:p>
    <w:p>
      <w:pPr>
        <w:pStyle w:val="BodyText"/>
      </w:pPr>
      <w:r>
        <w:t xml:space="preserve">Japan has one of the highest smartphone penetration rates in the world, and mobile usage patterns in Kyoto are no exception. NTT Docomo’s guidelines provide specific recommendations for mobile UI design tailored to Japanese users, including input methods for Japanese characters, navigation patterns, and content density. For a UX/UI designer in Kyoto, this is a practical handbook for creating mobile-first experiences. It addresses unique challenges such as the complexity of Japanese text input on small screens and the preference for information-rich layouts. Adhering to these guidelines ensures that digital products are intuitive and efficient for the mobile-centric population of Kyoto.</w:t>
      </w:r>
    </w:p>
    <w:p>
      <w:pPr>
        <w:pStyle w:val="BodyText"/>
      </w:pPr>
      <w:r>
        <w:t xml:space="preserve">Hall, E. T. (1976). Beyond Culture. Anchor Books. (Specifically chapters on High-Context vs. Low-Context Cultures).</w:t>
      </w:r>
    </w:p>
    <w:p>
      <w:pPr>
        <w:pStyle w:val="BodyText"/>
      </w:pPr>
      <w:r>
        <w:t xml:space="preserve">Edward T. Hall’s distinction between high-context and low-context cultures is fundamental for UX writing and information architecture in Japan. Japan is a high-context culture, where communication relies heavily on implicit understanding and shared knowledge. For a UX/UI designer in Kyoto, this means that interfaces should not be overly explicit or instructional. Instead, they should rely on visual cues, context, and subtle hints. This resource helps designers craft microcopy and navigation structures that respect the user’s intelligence and cultural background, avoiding the "hand-holding" approach that can be perceived as patronizing in Kyoto.</w:t>
      </w:r>
    </w:p>
    <w:p>
      <w:pPr>
        <w:pStyle w:val="BodyText"/>
      </w:pPr>
      <w:r>
        <w:t xml:space="preserve">Kyoto City Government. (2022). Digital Transformation (DX) Strategy for Kyoto.</w:t>
      </w:r>
    </w:p>
    <w:p>
      <w:pPr>
        <w:pStyle w:val="BodyText"/>
      </w:pPr>
      <w:r>
        <w:t xml:space="preserve">This official document outlines the city’s vision for integrating digital technologies into public services and tourism. For a UX/UI designer working in Kyoto, this resource provides insight into the local government’s priorities, such as multilingual support for tourists, accessibility for seniors, and sustainability. It highlights the need for designs that balance modern efficiency with the preservation of Kyoto’s cultural heritage. Understanding these strategic goals allows designers to align their work with broader community needs, creating interfaces that are not only usable but also socially responsible and culturally respectful.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Kyoto, Japan</dc:title>
  <dc:creator/>
  <dc:language>en</dc:language>
  <cp:keywords/>
  <dcterms:created xsi:type="dcterms:W3CDTF">2026-08-07T10:04:44Z</dcterms:created>
  <dcterms:modified xsi:type="dcterms:W3CDTF">2026-08-07T10:04:44Z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