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8c46efbc66af981ef1fb2649892432397cd480c"/>
    <w:p>
      <w:pPr>
        <w:pStyle w:val="Heading1"/>
      </w:pPr>
      <w:r>
        <w:t xml:space="preserve">Annotated Bibliography: UX/UI Design Practices in Auckland, New Zealand</w:t>
      </w:r>
    </w:p>
    <w:p>
      <w:pPr>
        <w:pStyle w:val="FirstParagraph"/>
      </w:pPr>
      <w:r>
        <w:t xml:space="preserve">This annotated bibliography compiles essential resources regarding User Experience (UX) and User Interface (UI) design, specifically contextualized for the professional landscape of Auckland, New Zealand. As the nation's primary economic hub and a burgeoning technology center, Auckland presents unique challenges and opportunities for designers. The selected texts address global design standards while highlighting local cultural nuances, accessibility requirements under New Zealand law, and the specific market dynamics of the Auckland tech ecosystem.</w:t>
      </w:r>
    </w:p>
    <w:bookmarkStart w:id="20" w:name="references"/>
    <w:p>
      <w:pPr>
        <w:pStyle w:val="Heading2"/>
      </w:pPr>
      <w:r>
        <w:t xml:space="preserve">References</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foundational text for understanding the psychology behind user interaction with products. Norman introduces core concepts such as affordances, signifiers, and mapping, arguing that good design is intuitive and invisible. The revised edition updates these principles for the digital age, addressing mobile interfaces and complex software systems.</w:t>
      </w:r>
    </w:p>
    <w:p>
      <w:pPr>
        <w:pStyle w:val="BodyText"/>
      </w:pPr>
      <w:r>
        <w:t xml:space="preserve">For a UX/UI designer operating in Auckland, this text is critical for establishing a baseline of usability. Whether designing for a fintech startup in the CBD or a tourism app for the wider Auckland region, Norman’s principles ensure that interfaces respect the cognitive load of users. It serves as a universal reference point in client meetings to justify design decisions based on human psychology rather than aesthetic preference alone.</w:t>
      </w:r>
    </w:p>
    <w:p>
      <w:pPr>
        <w:pStyle w:val="BodyText"/>
      </w:pPr>
      <w:r>
        <w:t xml:space="preserve">New Zealand Government. (2021).</w:t>
      </w:r>
      <w:r>
        <w:t xml:space="preserve"> </w:t>
      </w:r>
      <w:r>
        <w:rPr>
          <w:iCs/>
          <w:i/>
        </w:rPr>
        <w:t xml:space="preserve">Web Content Accessibility Guidelines (WCAG) 2.1 Implementation Guide for NZ Government Agencies</w:t>
      </w:r>
      <w:r>
        <w:t xml:space="preserve">. Department of Internal Affairs.</w:t>
      </w:r>
    </w:p>
    <w:p>
      <w:pPr>
        <w:pStyle w:val="BodyText"/>
      </w:pPr>
      <w:r>
        <w:t xml:space="preserve">This official government document outlines the mandatory accessibility standards for digital services in New Zealand. It adapts the international WCAG 2.1 guidelines to the specific legal and social context of Aotearoa New Zealand. The guide provides detailed technical requirements for contrast, keyboard navigation, screen reader compatibility, and cognitive accessibility.</w:t>
      </w:r>
    </w:p>
    <w:p>
      <w:pPr>
        <w:pStyle w:val="BodyText"/>
      </w:pPr>
      <w:r>
        <w:t xml:space="preserve">This is an indispensable resource for any UI designer working in Auckland, particularly those engaging with public sector clients or large enterprises. Compliance with these standards is not merely best practice but often a legal requirement. Understanding this document allows designers to create inclusive interfaces that cater to New Zealand’s diverse population, ensuring that digital services in Auckland are accessible to users with disabilities, aligning with the country’s strong commitment to social equity.</w:t>
      </w:r>
    </w:p>
    <w:p>
      <w:pPr>
        <w:pStyle w:val="BodyText"/>
      </w:pPr>
      <w:r>
        <w:t xml:space="preserve">Nielsen, J., &amp; Molich, R. (1990).</w:t>
      </w:r>
      <w:r>
        <w:t xml:space="preserve"> </w:t>
      </w:r>
      <w:r>
        <w:rPr>
          <w:iCs/>
          <w:i/>
        </w:rPr>
        <w:t xml:space="preserve">Heuristic Evaluation of User Interfaces</w:t>
      </w:r>
      <w:r>
        <w:t xml:space="preserve">. Proceedings of the SIGCHI Conference on Human Factors in Computing Systems.</w:t>
      </w:r>
    </w:p>
    <w:p>
      <w:pPr>
        <w:pStyle w:val="BodyText"/>
      </w:pPr>
      <w:r>
        <w:t xml:space="preserve">This classic paper introduces the heuristic evaluation method, a usability inspection method where evaluators judge an interface against established usability principles (heuristics). Nielsen and Molich propose ten general rules for interaction design, such as "visibility of system status" and "error prevention."</w:t>
      </w:r>
    </w:p>
    <w:p>
      <w:pPr>
        <w:pStyle w:val="BodyText"/>
      </w:pPr>
      <w:r>
        <w:t xml:space="preserve">In the fast-paced Auckland startup environment, resources for extensive user testing may be limited. Heuristic evaluation offers a cost-effective way for UX designers to identify major usability issues early in the design process. This methodology is widely recognized in the local industry and provides a common language for designers and developers in Auckland to critique and improve UI prototypes before they reach the market.</w:t>
      </w:r>
    </w:p>
    <w:p>
      <w:pPr>
        <w:pStyle w:val="BodyText"/>
      </w:pPr>
      <w:r>
        <w:t xml:space="preserve">Waiti, M. (2019).</w:t>
      </w:r>
      <w:r>
        <w:t xml:space="preserve"> </w:t>
      </w:r>
      <w:r>
        <w:rPr>
          <w:iCs/>
          <w:i/>
        </w:rPr>
        <w:t xml:space="preserve">Designing for Aotearoa: Integrating Māori Perspectives into Digital Experiences</w:t>
      </w:r>
      <w:r>
        <w:t xml:space="preserve">. Journal of New Zealand Design Studies, 12(3), 45-62.</w:t>
      </w:r>
    </w:p>
    <w:p>
      <w:pPr>
        <w:pStyle w:val="BodyText"/>
      </w:pPr>
      <w:r>
        <w:t xml:space="preserve">This academic article explores the integration of Māori cultural values and design principles into digital interfaces. Waiti discusses concepts such as</w:t>
      </w:r>
      <w:r>
        <w:t xml:space="preserve"> </w:t>
      </w:r>
      <w:r>
        <w:rPr>
          <w:iCs/>
          <w:i/>
        </w:rPr>
        <w:t xml:space="preserve">whanaungatanga</w:t>
      </w:r>
      <w:r>
        <w:t xml:space="preserve"> </w:t>
      </w:r>
      <w:r>
        <w:t xml:space="preserve">(relationship building) and</w:t>
      </w:r>
      <w:r>
        <w:t xml:space="preserve"> </w:t>
      </w:r>
      <w:r>
        <w:rPr>
          <w:iCs/>
          <w:i/>
        </w:rPr>
        <w:t xml:space="preserve">kaitiakitanga</w:t>
      </w:r>
      <w:r>
        <w:t xml:space="preserve"> </w:t>
      </w:r>
      <w:r>
        <w:t xml:space="preserve">(guardianship) and how they can inform UX strategies. The paper critiques the dominance of Western-centric design paradigms and advocates for a bicultural approach to technology design in New Zealand.</w:t>
      </w:r>
    </w:p>
    <w:p>
      <w:pPr>
        <w:pStyle w:val="BodyText"/>
      </w:pPr>
      <w:r>
        <w:t xml:space="preserve">For a UX/UI designer in Auckland, cultural competence is paramount. This article provides a framework for creating designs that resonate with the local Māori population and reflect the bicultural nature of New Zealand society. It is particularly relevant for projects involving health, education, or government services in Auckland, where culturally responsive design can significantly improve user trust and engagement.</w:t>
      </w:r>
    </w:p>
    <w:p>
      <w:pPr>
        <w:pStyle w:val="BodyText"/>
      </w:pPr>
      <w:r>
        <w:t xml:space="preserve">Google. (2023).</w:t>
      </w:r>
      <w:r>
        <w:t xml:space="preserve"> </w:t>
      </w:r>
      <w:r>
        <w:rPr>
          <w:iCs/>
          <w:i/>
        </w:rPr>
        <w:t xml:space="preserve">Material Design 3: Design System</w:t>
      </w:r>
      <w:r>
        <w:t xml:space="preserve">. Google Developers.</w:t>
      </w:r>
    </w:p>
    <w:p>
      <w:pPr>
        <w:pStyle w:val="BodyText"/>
      </w:pPr>
      <w:r>
        <w:t xml:space="preserve">Material Design is a comprehensive design system developed by Google that provides guidelines for visual design, motion, and interaction. The latest iteration, Material Design 3, emphasizes personalization, adaptability, and accessibility. It offers a library of components and patterns that ensure consistency across platforms.</w:t>
      </w:r>
    </w:p>
    <w:p>
      <w:pPr>
        <w:pStyle w:val="BodyText"/>
      </w:pPr>
      <w:r>
        <w:t xml:space="preserve">Many Auckland-based tech companies build applications for Android and web platforms. Familiarity with Material Design is often a prerequisite for UI roles in the region. This resource helps designers create familiar, efficient interfaces that reduce the learning curve for users. It also provides a robust foundation for responsive design, which is crucial given the high mobile internet usage rates in New Zealand.</w:t>
      </w:r>
    </w:p>
    <w:p>
      <w:pPr>
        <w:pStyle w:val="BodyText"/>
      </w:pPr>
      <w:r>
        <w:t xml:space="preserve">Statista. (2024).</w:t>
      </w:r>
      <w:r>
        <w:t xml:space="preserve"> </w:t>
      </w:r>
      <w:r>
        <w:rPr>
          <w:iCs/>
          <w:i/>
        </w:rPr>
        <w:t xml:space="preserve">Internet Usage in New Zealand: Statistics and Facts</w:t>
      </w:r>
      <w:r>
        <w:t xml:space="preserve">. Statista Research Department.</w:t>
      </w:r>
    </w:p>
    <w:p>
      <w:pPr>
        <w:pStyle w:val="BodyText"/>
      </w:pPr>
      <w:r>
        <w:t xml:space="preserve">This data report provides up-to-date statistics on internet penetration, device usage, and online behavior in New Zealand. It highlights trends such as the dominance of mobile browsing, the popularity of social media platforms, and the growing adoption of e-commerce services across the country, with specific data points for major urban centers like Auckland.</w:t>
      </w:r>
    </w:p>
    <w:p>
      <w:pPr>
        <w:pStyle w:val="BodyText"/>
      </w:pPr>
      <w:r>
        <w:t xml:space="preserve">Data-driven design is essential for success in Auckland’s competitive market. This report allows UX designers to make informed decisions about platform prioritization (mobile-first vs. desktop), content strategy, and feature sets. Understanding the specific digital habits of Aucklanders helps designers tailor experiences that align with local user expectations and behaviors.</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book is a concise guide to web usability, emphasizing that websites should be self-explanatory and require minimal cognitive effort from users. Krug advocates for simplicity, clear navigation, and testing with real users. The third edition includes updates for mobile and tablet usability.</w:t>
      </w:r>
    </w:p>
    <w:p>
      <w:pPr>
        <w:pStyle w:val="BodyText"/>
      </w:pPr>
      <w:r>
        <w:t xml:space="preserve">This text is highly practical for UX/UI designers in Auckland working on e-commerce and service-based websites. Its straightforward advice is easy to communicate to non-design stakeholders, which is valuable in client-facing roles. The principles outlined help ensure that digital products in the Auckland market are intuitive, reducing bounce rates and improving conversion metrics.</w:t>
      </w:r>
    </w:p>
    <w:p>
      <w:pPr>
        <w:pStyle w:val="BodyText"/>
      </w:pPr>
      <w:r>
        <w:t xml:space="preserve">Interaction Design Foundation. (2023).</w:t>
      </w:r>
      <w:r>
        <w:t xml:space="preserve"> </w:t>
      </w:r>
      <w:r>
        <w:rPr>
          <w:iCs/>
          <w:i/>
        </w:rPr>
        <w:t xml:space="preserve">Course: User Research Methods</w:t>
      </w:r>
      <w:r>
        <w:t xml:space="preserve">. IDF.</w:t>
      </w:r>
    </w:p>
    <w:p>
      <w:pPr>
        <w:pStyle w:val="BodyText"/>
      </w:pPr>
      <w:r>
        <w:t xml:space="preserve">This online course module covers a wide range of user research techniques, including interviews, surveys, contextual inquiry, and card sorting. It explains when and how to use each method to gather qualitative and quantitative data about user needs, behaviors, and pain points.</w:t>
      </w:r>
    </w:p>
    <w:p>
      <w:pPr>
        <w:pStyle w:val="BodyText"/>
      </w:pPr>
      <w:r>
        <w:t xml:space="preserve">Effective UX design in Auckland requires a deep understanding of local users. This resource equips designers with the tools to conduct rigorous user research within the New Zealand context. By applying these methods, designers can validate assumptions, uncover local usability issues, and create evidence-based designs that truly meet the needs of Auckland’s diverse user base.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Auckland, New Zealand</dc:title>
  <dc:creator/>
  <dc:language>en</dc:language>
  <cp:keywords/>
  <dcterms:created xsi:type="dcterms:W3CDTF">2026-08-07T05:32:49Z</dcterms:created>
  <dcterms:modified xsi:type="dcterms:W3CDTF">2026-08-07T05:32:49Z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