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992298afcf7001ae339fa370ad8af203c464733"/>
    <w:p>
      <w:pPr>
        <w:pStyle w:val="Heading1"/>
      </w:pPr>
      <w:r>
        <w:t xml:space="preserve">Annotated Bibliography: UX/UI Design in Wellington, New Zealand</w:t>
      </w:r>
    </w:p>
    <w:p>
      <w:pPr>
        <w:pStyle w:val="FirstParagraph"/>
      </w:pPr>
      <w:r>
        <w:rPr>
          <w:bCs/>
          <w:b/>
        </w:rPr>
        <w:t xml:space="preserve">Context:</w:t>
      </w:r>
      <w:r>
        <w:t xml:space="preserve"> </w:t>
      </w:r>
      <w:r>
        <w:t xml:space="preserve">A curated selection of resources focusing on User Experience (UX) and User Interface (UI) design principles, specifically tailored to the professional landscape, cultural nuances, and digital ecosystem of Wellington, New Zealand.</w:t>
      </w:r>
    </w:p>
    <w:bookmarkEnd w:id="20"/>
    <w:p>
      <w:pPr>
        <w:pStyle w:val="BodyText"/>
      </w:pPr>
      <w:r>
        <w:t xml:space="preserve">This annotated bibliography serves as a foundational resource for UX/UI designers operating within Wellington, New Zealand. As the nation's capital and a burgeoning hub for technology and creative industries, Wellington presents a unique environment for digital design. The selected texts and resources address global design standards while highlighting local considerations such as Te Tiriti o Waitangi (The Treaty of Waitangi), accessibility standards relevant to New Zealand law, and the specific user behaviors of the Aotearoa market. These references are essential for designers aiming to create inclusive, culturally responsive, and effective digital products in the Wellington region.</w:t>
      </w:r>
    </w:p>
    <w:p>
      <w:pPr>
        <w:pStyle w:val="BodyText"/>
      </w:pPr>
      <w:r>
        <w:t xml:space="preserve"> </w:t>
      </w:r>
      <w:r>
        <w:t xml:space="preserve">Nielsen, J., &amp; Molich, R. (1990). Heuristic evaluation of user interfaces. Proceedings of the SIGCHI conference on Human Factors in Computing Systems, 249-256.</w:t>
      </w:r>
      <w:r>
        <w:t xml:space="preserve"> </w:t>
      </w:r>
    </w:p>
    <w:p>
      <w:pPr>
        <w:pStyle w:val="BodyText"/>
      </w:pPr>
      <w:r>
        <w:t xml:space="preserve">This seminal paper introduces the concept of heuristic evaluation, a cornerstone method in UX research. For a UX/UI designer in Wellington, this resource is critical for establishing a baseline of usability testing. While the heuristics are universal, applying them in New Zealand requires sensitivity to local user expectations. For instance, when evaluating "user control and freedom," designers in Wellington must consider the high digital literacy of Kiwi users who expect seamless navigation across government and private sector platforms. This text provides the theoretical framework necessary for conducting rigorous usability audits in local startups and established Wellington tech firms.</w:t>
      </w:r>
    </w:p>
    <w:p>
      <w:pPr>
        <w:pStyle w:val="BodyText"/>
      </w:pPr>
      <w:r>
        <w:t xml:space="preserve"> </w:t>
      </w:r>
      <w:r>
        <w:t xml:space="preserve">Norman, D. A. (2013). The Design of Everyday Things (Revised and Expanded Edition). Basic Books.</w:t>
      </w:r>
      <w:r>
        <w:t xml:space="preserve"> </w:t>
      </w:r>
    </w:p>
    <w:p>
      <w:pPr>
        <w:pStyle w:val="BodyText"/>
      </w:pPr>
      <w:r>
        <w:t xml:space="preserve">Norman’s work is essential for understanding the psychology behind user interaction. For designers in Wellington, this book offers insights into creating intuitive interfaces that resonate with the local population. The principles of visibility, feedback, and constraints are particularly relevant when designing for New Zealand’s diverse demographic, which includes a significant Māori and Pasifika population. By applying Norman’s concepts, Wellington-based designers can ensure that digital products are not only functional but also cognitively accessible, reducing friction for users who may have varying levels of English proficiency or digital experience.</w:t>
      </w:r>
    </w:p>
    <w:p>
      <w:pPr>
        <w:pStyle w:val="BodyText"/>
      </w:pPr>
      <w:r>
        <w:t xml:space="preserve"> </w:t>
      </w:r>
      <w:r>
        <w:t xml:space="preserve">Te Puni Kōkiri. (2021). Te Tiriti o Waitangi: A Guide for Government. New Zealand Government.</w:t>
      </w:r>
      <w:r>
        <w:t xml:space="preserve"> </w:t>
      </w:r>
    </w:p>
    <w:p>
      <w:pPr>
        <w:pStyle w:val="BodyText"/>
      </w:pPr>
      <w:r>
        <w:t xml:space="preserve">This government publication is vital for any UX/UI designer working in Wellington, particularly within the public sector or for organizations serving the broader New Zealand community. It outlines the principles of partnership, protection, and participation inherent in Te Tiriti o Waitangi. For designers, this translates into the need for culturally responsive design. It emphasizes the importance of incorporating Te Reo Māori, respecting Māori cultural protocols (tikanga), and ensuring that digital interfaces do not marginalize indigenous users. This resource guides designers in creating inclusive experiences that honor New Zealand’s bicultural foundation.</w:t>
      </w:r>
    </w:p>
    <w:p>
      <w:pPr>
        <w:pStyle w:val="BodyText"/>
      </w:pPr>
      <w:r>
        <w:t xml:space="preserve"> </w:t>
      </w:r>
      <w:r>
        <w:t xml:space="preserve">Web Accessibility Initiative (WAI). (2018). Web Content Accessibility Guidelines (WCAG) 2.1. W3C.</w:t>
      </w:r>
      <w:r>
        <w:t xml:space="preserve"> </w:t>
      </w:r>
    </w:p>
    <w:p>
      <w:pPr>
        <w:pStyle w:val="BodyText"/>
      </w:pPr>
      <w:r>
        <w:t xml:space="preserve">The WCAG 2.1 guidelines are the global standard for web accessibility, and they are directly relevant to New Zealand’s legal and ethical landscape. In Wellington, where many government agencies and large enterprises are headquartered, adherence to these guidelines is often mandatory under the New Zealand Disability Strategy. This resource provides detailed criteria for making web content more accessible to people with disabilities. For UX/UI designers, it is a practical tool for ensuring that color contrast, keyboard navigation, and screen reader compatibility meet the needs of all New Zealanders, fostering an inclusive digital environment in the capital city.</w:t>
      </w:r>
    </w:p>
    <w:p>
      <w:pPr>
        <w:pStyle w:val="BodyText"/>
      </w:pPr>
      <w:r>
        <w:t xml:space="preserve"> </w:t>
      </w:r>
      <w:r>
        <w:t xml:space="preserve">Stats NZ. (2023). Internet Use and Digital Access. Statistics New Zealand.</w:t>
      </w:r>
      <w:r>
        <w:t xml:space="preserve"> </w:t>
      </w:r>
    </w:p>
    <w:p>
      <w:pPr>
        <w:pStyle w:val="BodyText"/>
      </w:pPr>
      <w:r>
        <w:t xml:space="preserve">This statistical report provides crucial data on internet usage patterns, device preferences, and digital access across New Zealand. For a UX/UI designer in Wellington, this data is indispensable for user research and persona development. It highlights regional disparities in connectivity and device usage, which can inform design decisions regarding mobile-first strategies and data optimization. Understanding the digital habits of Wellingtonians versus those in rural New Zealand allows designers to create flexible interfaces that perform well across different network conditions and devices, ensuring a consistent user experience nationwide.</w:t>
      </w:r>
    </w:p>
    <w:p>
      <w:pPr>
        <w:pStyle w:val="BodyText"/>
      </w:pPr>
      <w:r>
        <w:t xml:space="preserve"> </w:t>
      </w:r>
      <w:r>
        <w:t xml:space="preserve">Garrett, J. J. (2010). The Elements of User Experience: User-Centered Design for the Web and Beyond (2nd ed.). New Riders.</w:t>
      </w:r>
      <w:r>
        <w:t xml:space="preserve"> </w:t>
      </w:r>
    </w:p>
    <w:p>
      <w:pPr>
        <w:pStyle w:val="BodyText"/>
      </w:pPr>
      <w:r>
        <w:t xml:space="preserve">Garrett’s framework for user experience design is a comprehensive guide for structuring design projects. For UX/UI designers in Wellington’s competitive tech scene, this book offers a systematic approach to balancing user needs, business goals, and technical constraints. It is particularly useful for designers working in Wellington’s agile development environments, where clear communication of design intent is crucial. The layers of strategy, scope, structure, skeleton, and surface provide a common language for collaborating with developers, stakeholders, and clients in the local industry.</w:t>
      </w:r>
    </w:p>
    <w:p>
      <w:pPr>
        <w:pStyle w:val="BodyText"/>
      </w:pPr>
      <w:r>
        <w:t xml:space="preserve"> </w:t>
      </w:r>
      <w:r>
        <w:t xml:space="preserve">Microsoft Design. (2020). Inclusive Design Toolkit. Microsoft.</w:t>
      </w:r>
      <w:r>
        <w:t xml:space="preserve"> </w:t>
      </w:r>
    </w:p>
    <w:p>
      <w:pPr>
        <w:pStyle w:val="BodyText"/>
      </w:pPr>
      <w:r>
        <w:t xml:space="preserve">This toolkit provides practical strategies for designing products that are accessible and usable by people with a wide range of abilities. For designers in Wellington, this resource aligns with New Zealand’s commitment to inclusivity and diversity. It offers case studies and methods for identifying permanent, temporary, and situational disabilities, which can inform the design of digital products that are resilient and adaptable. By applying these principles, Wellington-based designers can create interfaces that are not only compliant with accessibility standards but also genuinely welcoming to all users, reflecting the diverse fabric of New Zealand society.</w:t>
      </w:r>
    </w:p>
    <w:p>
      <w:pPr>
        <w:pStyle w:val="BodyText"/>
      </w:pPr>
      <w:r>
        <w:t xml:space="preserve"> </w:t>
      </w:r>
      <w:r>
        <w:t xml:space="preserve">Wellington City Council. (2022). Digital Strategy 2022-2027. Wellington City Council.</w:t>
      </w:r>
      <w:r>
        <w:t xml:space="preserve"> </w:t>
      </w:r>
    </w:p>
    <w:p>
      <w:pPr>
        <w:pStyle w:val="BodyText"/>
      </w:pPr>
      <w:r>
        <w:t xml:space="preserve">This local government document outlines the digital priorities and initiatives for Wellington City. For UX/UI designers working in or with the Wellington region, this strategy provides insight into the city’s vision for digital services, smart city initiatives, and citizen engagement. It highlights the importance of user-centered design in public services and offers opportunities for designers to contribute to projects that enhance the digital experience of Wellingtonians. Understanding this strategy helps designers align their work with local goals and contribute to the broader digital ecosystem of the capital.</w:t>
      </w:r>
    </w:p>
    <w:p>
      <w:pPr>
        <w:pStyle w:val="BodyText"/>
      </w:pPr>
      <w:r>
        <w:t xml:space="preserve">Document prepared for UX/UI Design professionals in Wellington, New Zealand. All references are current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Wellington, New Zealand</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