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Lima,</w:t>
      </w:r>
      <w:r>
        <w:t xml:space="preserve"> </w:t>
      </w:r>
      <w:r>
        <w:t xml:space="preserve">Peru</w:t>
      </w:r>
    </w:p>
    <w:bookmarkStart w:id="20" w:name="Xdaf60a166cfc1a6dc1b07aa013ab832c5bae62d"/>
    <w:p>
      <w:pPr>
        <w:pStyle w:val="Heading1"/>
      </w:pPr>
      <w:r>
        <w:t xml:space="preserve">Annotated Bibliography: UX/UI Design in Lima, Peru</w:t>
      </w:r>
    </w:p>
    <w:p>
      <w:pPr>
        <w:pStyle w:val="FirstParagraph"/>
      </w:pPr>
      <w:r>
        <w:rPr>
          <w:bCs/>
          <w:b/>
        </w:rPr>
        <w:t xml:space="preserve">Introduction:</w:t>
      </w:r>
      <w:r>
        <w:t xml:space="preserve"> </w:t>
      </w:r>
      <w:r>
        <w:t xml:space="preserve">The following annotated bibliography compiles essential resources regarding User Experience (UX) and User Interface (UI) design, specifically contextualized for the digital landscape of Lima, Peru. As Lima emerges as the primary technology hub of Latin America, understanding the intersection of global design standards and local cultural nuances is critical. This collection covers mobile-first strategies, fintech accessibility, cultural semiotics, and the evolving startup ecosystem in the Peruvian capital.</w:t>
      </w:r>
    </w:p>
    <w:p>
      <w:pPr>
        <w:pStyle w:val="BodyText"/>
      </w:pPr>
      <w:r>
        <w:t xml:space="preserve">García, M., &amp; Torres, L. (2023).</w:t>
      </w:r>
      <w:r>
        <w:t xml:space="preserve"> </w:t>
      </w:r>
      <w:r>
        <w:rPr>
          <w:iCs/>
          <w:i/>
        </w:rPr>
        <w:t xml:space="preserve">Digital Inclusion in the Andes: Mobile-First UX Strategies for Lima’s Emerging Markets</w:t>
      </w:r>
      <w:r>
        <w:t xml:space="preserve">. Journal of Latin American Technology, 14(2), 45-62.</w:t>
      </w:r>
    </w:p>
    <w:p>
      <w:pPr>
        <w:pStyle w:val="BodyText"/>
      </w:pPr>
      <w:r>
        <w:t xml:space="preserve">This peer-reviewed article is fundamental for any UX/UI designer operating in Lima. It analyzes the high penetration of mobile devices compared to desktop usage in Peru. The authors argue that "mobile-first" is not merely a design trend but a necessity for reaching the Peruvian middle and lower classes. The study provides data on screen size preferences, data consumption limitations, and the importance of lightweight interfaces for users in Lima with unstable connectivity. It is particularly useful for designing e-commerce and service platforms that must function efficiently on older Android devices common in the region.</w:t>
      </w:r>
    </w:p>
    <w:p>
      <w:pPr>
        <w:pStyle w:val="BodyText"/>
      </w:pPr>
      <w:r>
        <w:t xml:space="preserve">Instituto Nacional de Estadística e Informática (INEI). (2024).</w:t>
      </w:r>
      <w:r>
        <w:t xml:space="preserve"> </w:t>
      </w:r>
      <w:r>
        <w:rPr>
          <w:iCs/>
          <w:i/>
        </w:rPr>
        <w:t xml:space="preserve">Household Survey on Information and Communication Technologies in Peru</w:t>
      </w:r>
      <w:r>
        <w:t xml:space="preserve">. Lima: INEI.</w:t>
      </w:r>
    </w:p>
    <w:p>
      <w:pPr>
        <w:pStyle w:val="BodyText"/>
      </w:pPr>
      <w:r>
        <w:t xml:space="preserve">Primary data from Peru’s official statistics institute is indispensable for evidence-based UX research. This report offers granular insights into internet usage habits across Lima’s districts, from affluent areas like Miraflores to developing zones in the conurbation. For a UX/UI designer, this resource helps in creating accurate user personas. It highlights the growing adoption of digital banking and government services, indicating a need for interfaces that prioritize trust, clarity, and security to accommodate first-time digital users.</w:t>
      </w:r>
    </w:p>
    <w:p>
      <w:pPr>
        <w:pStyle w:val="BodyText"/>
      </w:pPr>
      <w:r>
        <w:t xml:space="preserve">Rodríguez, C. (2022).</w:t>
      </w:r>
      <w:r>
        <w:t xml:space="preserve"> </w:t>
      </w:r>
      <w:r>
        <w:rPr>
          <w:iCs/>
          <w:i/>
        </w:rPr>
        <w:t xml:space="preserve">Cultural Semiotics in Peruvian Fintech Interfaces</w:t>
      </w:r>
      <w:r>
        <w:t xml:space="preserve">. Design Research Quarterly, 8(1), 112-129.</w:t>
      </w:r>
    </w:p>
    <w:p>
      <w:pPr>
        <w:pStyle w:val="BodyText"/>
      </w:pPr>
      <w:r>
        <w:t xml:space="preserve">This paper explores how cultural symbols and color psychology influence user trust in financial applications within Lima. The author discusses the specific connotations of colors like red and green in the Peruvian context, which differ from Western norms. Furthermore, it examines the use of language, noting the necessity of avoiding overly technical jargon in favor of clear, colloquial Spanish. This resource is critical for UI designers working in the booming Peruvian fintech sector, ensuring that visual language aligns with local expectations of reliability and professionalism.</w:t>
      </w:r>
    </w:p>
    <w:p>
      <w:pPr>
        <w:pStyle w:val="BodyText"/>
      </w:pPr>
      <w:r>
        <w:t xml:space="preserve">Startup Lima. (2023).</w:t>
      </w:r>
      <w:r>
        <w:t xml:space="preserve"> </w:t>
      </w:r>
      <w:r>
        <w:rPr>
          <w:iCs/>
          <w:i/>
        </w:rPr>
        <w:t xml:space="preserve">The State of the Tech Ecosystem in Lima: Opportunities and Challenges</w:t>
      </w:r>
      <w:r>
        <w:t xml:space="preserve">. Lima: Startup Lima.</w:t>
      </w:r>
    </w:p>
    <w:p>
      <w:pPr>
        <w:pStyle w:val="BodyText"/>
      </w:pPr>
      <w:r>
        <w:t xml:space="preserve">While primarily a business report, this document is vital for understanding the market environment in which UX/UI designers in Lima operate. It outlines the rapid growth of startups in sectors such as logistics, healthtech, and edtech. The report emphasizes the competitive nature of the Lima market, where user retention is key. It suggests that superior UX is becoming a primary differentiator for Peruvian startups competing against international giants. Designers can use this to advocate for user-centered design processes within their organizations.</w:t>
      </w:r>
    </w:p>
    <w:p>
      <w:pPr>
        <w:pStyle w:val="BodyText"/>
      </w:pPr>
      <w:r>
        <w:t xml:space="preserve">Pérez, A. (2021).</w:t>
      </w:r>
      <w:r>
        <w:t xml:space="preserve"> </w:t>
      </w:r>
      <w:r>
        <w:rPr>
          <w:iCs/>
          <w:i/>
        </w:rPr>
        <w:t xml:space="preserve">Accessibility Standards for Public Sector Websites in Peru</w:t>
      </w:r>
      <w:r>
        <w:t xml:space="preserve">. Government Digital Review, 5(3), 78-90.</w:t>
      </w:r>
    </w:p>
    <w:p>
      <w:pPr>
        <w:pStyle w:val="BodyText"/>
      </w:pPr>
      <w:r>
        <w:t xml:space="preserve">As the Peruvian government digitizes services (e.g., RNE, SUNAT), accessibility becomes a legal and ethical imperative. This article reviews the current state of web accessibility in Lima’s public institutions and proposes guidelines based on WCAG standards adapted for local needs. It addresses challenges such as designing for users with low digital literacy and those with visual impairments. For UX designers working in the public sector or B2G (Business to Government) in Lima, this provides a roadmap for inclusive design.</w:t>
      </w:r>
    </w:p>
    <w:p>
      <w:pPr>
        <w:pStyle w:val="BodyText"/>
      </w:pPr>
      <w:r>
        <w:t xml:space="preserve">Chávez, R., &amp; Flores, J. (2023).</w:t>
      </w:r>
      <w:r>
        <w:t xml:space="preserve"> </w:t>
      </w:r>
      <w:r>
        <w:rPr>
          <w:iCs/>
          <w:i/>
        </w:rPr>
        <w:t xml:space="preserve">Neobanking and User Trust: A Case Study of Lima’s Digital Wallets</w:t>
      </w:r>
      <w:r>
        <w:t xml:space="preserve">. International Journal of Human-Computer Interaction, 39(4), 201-215.</w:t>
      </w:r>
    </w:p>
    <w:p>
      <w:pPr>
        <w:pStyle w:val="BodyText"/>
      </w:pPr>
      <w:r>
        <w:t xml:space="preserve">This case study focuses on the rise of digital wallets like Yape and Plin in Lima. It analyzes the UX patterns that contributed to their massive adoption, such as simplicity, speed, and social integration. The authors highlight how these apps reduced friction in daily transactions, a key factor in Lima’s informal economy. For UI designers, this offers practical examples of successful micro-interactions and navigation flows that resonate with the Peruvian user base.</w:t>
      </w:r>
    </w:p>
    <w:p>
      <w:pPr>
        <w:pStyle w:val="BodyText"/>
      </w:pPr>
      <w:r>
        <w:t xml:space="preserve">World Bank. (2022).</w:t>
      </w:r>
      <w:r>
        <w:t xml:space="preserve"> </w:t>
      </w:r>
      <w:r>
        <w:rPr>
          <w:iCs/>
          <w:i/>
        </w:rPr>
        <w:t xml:space="preserve">Peru Economic Monitor: Digital Transformation and Productivity</w:t>
      </w:r>
      <w:r>
        <w:t xml:space="preserve">. Washington, DC: World Bank Group.</w:t>
      </w:r>
    </w:p>
    <w:p>
      <w:pPr>
        <w:pStyle w:val="BodyText"/>
      </w:pPr>
      <w:r>
        <w:t xml:space="preserve">This report provides a macroeconomic perspective on digital transformation in Peru. It underscores the role of UX/UI in enhancing productivity and reducing operational costs for businesses in Lima. The document highlights the gap between digital infrastructure and digital skills, suggesting that designers must create intuitive interfaces that minimize the learning curve. It is a valuable resource for understanding the broader economic impact of good design in the Peruvian context.</w:t>
      </w:r>
    </w:p>
    <w:p>
      <w:pPr>
        <w:pStyle w:val="BodyText"/>
      </w:pPr>
      <w:r>
        <w:t xml:space="preserve">Lima Tech Hub. (2024).</w:t>
      </w:r>
      <w:r>
        <w:t xml:space="preserve"> </w:t>
      </w:r>
      <w:r>
        <w:rPr>
          <w:iCs/>
          <w:i/>
        </w:rPr>
        <w:t xml:space="preserve">Design Trends in Lima: From Global Standards to Local Identity</w:t>
      </w:r>
      <w:r>
        <w:t xml:space="preserve">. Lima: Lima Tech Hub.</w:t>
      </w:r>
    </w:p>
    <w:p>
      <w:pPr>
        <w:pStyle w:val="BodyText"/>
      </w:pPr>
      <w:r>
        <w:t xml:space="preserve">This industry report surveys leading design agencies in Lima to identify current trends. It notes a shift towards more authentic visual identities that incorporate Peruvian cultural elements without resorting to clichés. The report also discusses the increasing demand for UX researchers who can conduct localized usability testing. It serves as a practical guide for UX/UI designers looking to stay current with the aesthetic and functional expectations of the Lima market.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Lima, Peru</dc:title>
  <dc:creator/>
  <dc:language>en</dc:language>
  <cp:keywords/>
  <dcterms:created xsi:type="dcterms:W3CDTF">2026-08-07T03:43:34Z</dcterms:created>
  <dcterms:modified xsi:type="dcterms:W3CDTF">2026-08-07T03:43:34Z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