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Madrid,</w:t>
      </w:r>
      <w:r>
        <w:t xml:space="preserve"> </w:t>
      </w:r>
      <w:r>
        <w:t xml:space="preserve">Spain</w:t>
      </w:r>
    </w:p>
    <w:bookmarkStart w:id="20" w:name="X40442983ddc8d3b3e43560d7efee353122925f2"/>
    <w:p>
      <w:pPr>
        <w:pStyle w:val="Heading1"/>
      </w:pPr>
      <w:r>
        <w:t xml:space="preserve">Annotated Bibliography: UX/UI Design in Madrid, Spain</w:t>
      </w:r>
    </w:p>
    <w:p>
      <w:pPr>
        <w:pStyle w:val="FirstParagraph"/>
      </w:pPr>
      <w:r>
        <w:rPr>
          <w:bCs/>
          <w:b/>
        </w:rPr>
        <w:t xml:space="preserve">Context:</w:t>
      </w:r>
      <w:r>
        <w:t xml:space="preserve"> </w:t>
      </w:r>
      <w:r>
        <w:t xml:space="preserve">This document provides a curated selection of resources relevant to the User Experience (UX) and User Interface (UI) design landscape specifically within the Madrid metropolitan area. It addresses local market trends, cultural nuances, and professional standards.</w:t>
      </w:r>
    </w:p>
    <w:bookmarkEnd w:id="20"/>
    <w:bookmarkStart w:id="21" w:name="introduction"/>
    <w:p>
      <w:pPr>
        <w:pStyle w:val="Heading2"/>
      </w:pPr>
      <w:r>
        <w:t xml:space="preserve">Introduction</w:t>
      </w:r>
    </w:p>
    <w:p>
      <w:pPr>
        <w:pStyle w:val="FirstParagraph"/>
      </w:pPr>
      <w:r>
        <w:t xml:space="preserve">Madrid has rapidly evolved into one of Europe's most significant technology hubs. For a UX/UI Designer operating in this region, success requires more than just technical proficiency in tools like Figma or Adobe XD. It demands a deep understanding of the Spanish digital ecosystem, local user behaviors, and the specific regulatory environment of Spain. This annotated bibliography compiles essential reading materials that bridge the gap between global design principles and the localized requirements of the Madrid market.</w:t>
      </w:r>
    </w:p>
    <w:bookmarkEnd w:id="21"/>
    <w:bookmarkStart w:id="30" w:name="selected-bibliography"/>
    <w:p>
      <w:pPr>
        <w:pStyle w:val="Heading2"/>
      </w:pPr>
      <w:r>
        <w:t xml:space="preserve">Selected Bibliography</w:t>
      </w:r>
    </w:p>
    <w:bookmarkStart w:id="22" w:name="Xbe869dcd846a3d9ac2d45ce5fb3fd1f13b6304d"/>
    <w:p>
      <w:pPr>
        <w:pStyle w:val="Heading3"/>
      </w:pPr>
      <w:r>
        <w:t xml:space="preserve">1. The Cultural Context of Spanish Digital Users</w:t>
      </w:r>
    </w:p>
    <w:p>
      <w:pPr>
        <w:pStyle w:val="FirstParagraph"/>
      </w:pPr>
      <w:r>
        <w:t xml:space="preserve">Hofstede Insights. (2023).</w:t>
      </w:r>
      <w:r>
        <w:t xml:space="preserve"> </w:t>
      </w:r>
      <w:r>
        <w:rPr>
          <w:iCs/>
          <w:i/>
        </w:rPr>
        <w:t xml:space="preserve">Spain Country Comparison: Cultural Dimensions in Business and Design.</w:t>
      </w:r>
      <w:r>
        <w:t xml:space="preserve"> </w:t>
      </w:r>
      <w:r>
        <w:t xml:space="preserve">Hofstede Insights.</w:t>
      </w:r>
    </w:p>
    <w:p>
      <w:pPr>
        <w:pStyle w:val="BodyText"/>
      </w:pPr>
      <w:r>
        <w:t xml:space="preserve">This resource is fundamental for any UX/UI Designer working in Madrid. It outlines the cultural dimensions of Spain, specifically highlighting high "Uncertainty Avoidance" and "Indulgence." For a designer, this implies that Spanish users often prefer clear, reassuring interfaces with robust trust signals (such as visible contact information and security badges) before converting. Furthermore, the high indulgence score suggests that visual aesthetics and emotional engagement are critical in UI design for the Madrid market. Ignoring these cultural nuances can lead to high bounce rates, even if the technical functionality is flawless.</w:t>
      </w:r>
    </w:p>
    <w:bookmarkEnd w:id="22"/>
    <w:bookmarkStart w:id="23" w:name="X7dc543d2abd7c84f09f12d37be17a068536a25b"/>
    <w:p>
      <w:pPr>
        <w:pStyle w:val="Heading3"/>
      </w:pPr>
      <w:r>
        <w:t xml:space="preserve">2. Regulatory Compliance: GDPR and Spanish Data Protection</w:t>
      </w:r>
    </w:p>
    <w:p>
      <w:pPr>
        <w:pStyle w:val="FirstParagraph"/>
      </w:pPr>
      <w:r>
        <w:t xml:space="preserve">Agencia Española de Protección de Datos (AEPD). (2022).</w:t>
      </w:r>
      <w:r>
        <w:t xml:space="preserve"> </w:t>
      </w:r>
      <w:r>
        <w:rPr>
          <w:iCs/>
          <w:i/>
        </w:rPr>
        <w:t xml:space="preserve">Guía de buenas prácticas para el diseño de interfaces de usuario (UX/UI) conforme al RGPD.</w:t>
      </w:r>
      <w:r>
        <w:t xml:space="preserve"> </w:t>
      </w:r>
      <w:r>
        <w:t xml:space="preserve">AEPD.</w:t>
      </w:r>
    </w:p>
    <w:p>
      <w:pPr>
        <w:pStyle w:val="BodyText"/>
      </w:pPr>
      <w:r>
        <w:t xml:space="preserve">Operating in Madrid requires strict adherence to the General Data Protection Regulation (GDPR) as interpreted by the Spanish Data Protection Agency (AEPD). This guide is a critical reference for UI designers creating forms, cookie banners, and data collection flows. It details how to design "Privacy by Design" interfaces that are not only legally compliant but also user-friendly. For a UX/UI Designer in Spain, understanding how to present consent mechanisms without causing "dark pattern" friction is a vital skill emphasized in this document.</w:t>
      </w:r>
    </w:p>
    <w:bookmarkEnd w:id="23"/>
    <w:bookmarkStart w:id="24" w:name="Xd274977df5f1b6ca46f4adf6eb7711485240e6e"/>
    <w:p>
      <w:pPr>
        <w:pStyle w:val="Heading3"/>
      </w:pPr>
      <w:r>
        <w:t xml:space="preserve">3. The Madrid Tech Ecosystem and Design Demand</w:t>
      </w:r>
    </w:p>
    <w:p>
      <w:pPr>
        <w:pStyle w:val="FirstParagraph"/>
      </w:pPr>
      <w:r>
        <w:t xml:space="preserve">Madrid Digital. (2023).</w:t>
      </w:r>
      <w:r>
        <w:t xml:space="preserve"> </w:t>
      </w:r>
      <w:r>
        <w:rPr>
          <w:iCs/>
          <w:i/>
        </w:rPr>
        <w:t xml:space="preserve">Informe de la Economía Digital y del Conocimiento en Madrid.</w:t>
      </w:r>
      <w:r>
        <w:t xml:space="preserve"> </w:t>
      </w:r>
      <w:r>
        <w:t xml:space="preserve">Ayuntamiento de Madrid.</w:t>
      </w:r>
    </w:p>
    <w:p>
      <w:pPr>
        <w:pStyle w:val="BodyText"/>
      </w:pPr>
      <w:r>
        <w:t xml:space="preserve">This report provides a macroeconomic view of the digital sector in the capital. It highlights the surge in fintech, tourism tech, and public administration digitalization in Madrid. For a UX/UI Designer, this document identifies the primary industries hiring for design roles. It suggests that designers in Madrid must be prepared to work on complex, data-heavy interfaces for financial services or highly accessible platforms for public sector projects. It serves as a strategic guide for portfolio development tailored to local employers.</w:t>
      </w:r>
    </w:p>
    <w:bookmarkEnd w:id="24"/>
    <w:bookmarkStart w:id="25" w:name="Xce4d355ecb1821b622f1907b9f3caaa8f90aa05"/>
    <w:p>
      <w:pPr>
        <w:pStyle w:val="Heading3"/>
      </w:pPr>
      <w:r>
        <w:t xml:space="preserve">4. Mobile-First Design in the Spanish Market</w:t>
      </w:r>
    </w:p>
    <w:p>
      <w:pPr>
        <w:pStyle w:val="FirstParagraph"/>
      </w:pPr>
      <w:r>
        <w:t xml:space="preserve">IAB Spain. (2023).</w:t>
      </w:r>
      <w:r>
        <w:t xml:space="preserve"> </w:t>
      </w:r>
      <w:r>
        <w:rPr>
          <w:iCs/>
          <w:i/>
        </w:rPr>
        <w:t xml:space="preserve">Informe de Hábitos Digitales en España.</w:t>
      </w:r>
      <w:r>
        <w:t xml:space="preserve"> </w:t>
      </w:r>
      <w:r>
        <w:t xml:space="preserve">Interactive Advertising Bureau Spain.</w:t>
      </w:r>
    </w:p>
    <w:p>
      <w:pPr>
        <w:pStyle w:val="BodyText"/>
      </w:pPr>
      <w:r>
        <w:t xml:space="preserve">Spain consistently ranks among the countries with the highest mobile internet penetration in Europe. This report by IAB Spain provides granular data on how users in Madrid and the surrounding regions consume content. It reveals a strong preference for mobile commerce and social commerce. For a UI Designer, this reinforces the necessity of a "mobile-first" approach. The data indicates that Spanish users are impatient with slow-loading mobile interfaces, requiring designers to optimize assets and interactions specifically for the 4G/5G networks prevalent in Madrid.</w:t>
      </w:r>
    </w:p>
    <w:bookmarkEnd w:id="25"/>
    <w:bookmarkStart w:id="26" w:name="accessibility-standards-in-spain"/>
    <w:p>
      <w:pPr>
        <w:pStyle w:val="Heading3"/>
      </w:pPr>
      <w:r>
        <w:t xml:space="preserve">5. Accessibility Standards in Spain</w:t>
      </w:r>
    </w:p>
    <w:p>
      <w:pPr>
        <w:pStyle w:val="FirstParagraph"/>
      </w:pPr>
      <w:r>
        <w:t xml:space="preserve">Ministerio de Inclusión, Seguridad Social y Migraciones. (2021).</w:t>
      </w:r>
      <w:r>
        <w:t xml:space="preserve"> </w:t>
      </w:r>
      <w:r>
        <w:rPr>
          <w:iCs/>
          <w:i/>
        </w:rPr>
        <w:t xml:space="preserve">Real Decreto sobre accesibilidad web y aplicaciones móviles.</w:t>
      </w:r>
      <w:r>
        <w:t xml:space="preserve"> </w:t>
      </w:r>
      <w:r>
        <w:t xml:space="preserve">Boletín Oficial del Estado.</w:t>
      </w:r>
    </w:p>
    <w:p>
      <w:pPr>
        <w:pStyle w:val="BodyText"/>
      </w:pPr>
      <w:r>
        <w:t xml:space="preserve">Accessibility is not optional in Spain, particularly for public-facing websites and services. This legal framework aligns with WCAG 2.1 standards but adds specific Spanish legal requirements. A UX/UI Designer in Madrid must use this document to ensure that color contrasts, font sizes, and navigation structures are inclusive. Failure to comply can result in legal action against the client. This resource is essential for justifying design decisions related to typography and navigation hierarchy to stakeholders in Madrid-based agencies.</w:t>
      </w:r>
    </w:p>
    <w:bookmarkEnd w:id="26"/>
    <w:bookmarkStart w:id="27" w:name="professional-networking-and-community"/>
    <w:p>
      <w:pPr>
        <w:pStyle w:val="Heading3"/>
      </w:pPr>
      <w:r>
        <w:t xml:space="preserve">6. Professional Networking and Community</w:t>
      </w:r>
    </w:p>
    <w:p>
      <w:pPr>
        <w:pStyle w:val="FirstParagraph"/>
      </w:pPr>
      <w:r>
        <w:t xml:space="preserve">UXPA Madrid. (2023).</w:t>
      </w:r>
      <w:r>
        <w:t xml:space="preserve"> </w:t>
      </w:r>
      <w:r>
        <w:rPr>
          <w:iCs/>
          <w:i/>
        </w:rPr>
        <w:t xml:space="preserve">Annual Report: The State of UX in Madrid.</w:t>
      </w:r>
      <w:r>
        <w:t xml:space="preserve"> </w:t>
      </w:r>
      <w:r>
        <w:t xml:space="preserve">User Experience Professionals Association Madrid Chapter.</w:t>
      </w:r>
    </w:p>
    <w:p>
      <w:pPr>
        <w:pStyle w:val="BodyText"/>
      </w:pPr>
      <w:r>
        <w:t xml:space="preserve">This report offers a qualitative look at the professional community in Madrid. It discusses the growing maturity of UX roles within Spanish companies, moving from purely visual UI tasks to strategic UX research. It highlights the importance of bilingualism (Spanish and English) in the Madrid design market, as many tech companies are international. For a designer, this resource underscores the need to develop soft skills and research methodologies that are valued by the local professional network.</w:t>
      </w:r>
    </w:p>
    <w:bookmarkEnd w:id="27"/>
    <w:bookmarkStart w:id="28" w:name="visual-trends-and-aesthetics"/>
    <w:p>
      <w:pPr>
        <w:pStyle w:val="Heading3"/>
      </w:pPr>
      <w:r>
        <w:t xml:space="preserve">7. Visual Trends and Aesthetics</w:t>
      </w:r>
    </w:p>
    <w:p>
      <w:pPr>
        <w:pStyle w:val="FirstParagraph"/>
      </w:pPr>
      <w:r>
        <w:t xml:space="preserve">Awwwards. (2023).</w:t>
      </w:r>
      <w:r>
        <w:t xml:space="preserve"> </w:t>
      </w:r>
      <w:r>
        <w:rPr>
          <w:iCs/>
          <w:i/>
        </w:rPr>
        <w:t xml:space="preserve">Site of the Day: Analysis of Spanish Web Design Trends.</w:t>
      </w:r>
      <w:r>
        <w:t xml:space="preserve"> </w:t>
      </w:r>
      <w:r>
        <w:t xml:space="preserve">Awwwards.</w:t>
      </w:r>
    </w:p>
    <w:p>
      <w:pPr>
        <w:pStyle w:val="BodyText"/>
      </w:pPr>
      <w:r>
        <w:t xml:space="preserve">While global, this curated collection allows for filtering by region. Analyzing award-winning sites from Spain provides insight into the current aesthetic preferences of Madrid's design community. Recent trends show a blend of bold, expressive typography with clean, minimalist layouts. This resource helps a UI Designer stay current with the visual language that resonates with sophisticated Spanish audiences, balancing creativity with usability.</w:t>
      </w:r>
    </w:p>
    <w:bookmarkEnd w:id="28"/>
    <w:bookmarkStart w:id="29" w:name="freelance-and-contractual-considerations"/>
    <w:p>
      <w:pPr>
        <w:pStyle w:val="Heading3"/>
      </w:pPr>
      <w:r>
        <w:t xml:space="preserve">8. Freelance and Contractual Considerations</w:t>
      </w:r>
    </w:p>
    <w:p>
      <w:pPr>
        <w:pStyle w:val="FirstParagraph"/>
      </w:pPr>
      <w:r>
        <w:t xml:space="preserve">Asociación de Diseñadores de Interacción (ADI). (2022).</w:t>
      </w:r>
      <w:r>
        <w:t xml:space="preserve"> </w:t>
      </w:r>
      <w:r>
        <w:rPr>
          <w:iCs/>
          <w:i/>
        </w:rPr>
        <w:t xml:space="preserve">Guía para el Diseñador Freelance en España.</w:t>
      </w:r>
      <w:r>
        <w:t xml:space="preserve"> </w:t>
      </w:r>
      <w:r>
        <w:t xml:space="preserve">ADI.</w:t>
      </w:r>
    </w:p>
    <w:p>
      <w:pPr>
        <w:pStyle w:val="BodyText"/>
      </w:pPr>
      <w:r>
        <w:t xml:space="preserve">Many UX/UI Designers in Madrid operate as freelancers or "autónomos." This guide explains the contractual norms, pricing standards, and intellectual property laws specific to Spain. It is crucial for understanding how to scope projects, handle revisions, and protect design assets within the Spanish legal framework. It bridges the gap between creative work and business operations for designers in the Madrid market.</w:t>
      </w:r>
    </w:p>
    <w:bookmarkEnd w:id="29"/>
    <w:bookmarkEnd w:id="30"/>
    <w:p>
      <w:pPr>
        <w:pStyle w:val="BodyText"/>
      </w:pPr>
      <w:r>
        <w:t xml:space="preserve">Document generated for educational and professional reference purposes regarding UX/UI Design in Madrid,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Madrid, Spain</dc:title>
  <dc:creator/>
  <dc:language>en</dc:language>
  <cp:keywords/>
  <dcterms:created xsi:type="dcterms:W3CDTF">2026-08-07T09:47:53Z</dcterms:created>
  <dcterms:modified xsi:type="dcterms:W3CDTF">2026-08-07T09:47:53Z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