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5" w:name="X4f83d1cbc3bd8b162723a76ca952f0305086fc4"/>
    <w:p>
      <w:pPr>
        <w:pStyle w:val="Heading1"/>
      </w:pPr>
      <w:r>
        <w:t xml:space="preserve">Annotated Bibliography: The Role of the UX/UI Designer in Birmingham, United Kingdom</w:t>
      </w:r>
    </w:p>
    <w:p>
      <w:pPr>
        <w:pStyle w:val="FirstParagraph"/>
      </w:pPr>
      <w:r>
        <w:t xml:space="preserve">This annotated bibliography compiles key resources regarding the profession of the UX/UI Designer, with a specific focus on the digital landscape, employment market, and educational opportunities within Birmingham, United Kingdom. As the second-largest city in the UK, Birmingham has emerged as a significant hub for technology and creative industries. The following entries explore the theoretical foundations of user experience, the practical application of interface design, and the specific socio-economic factors influencing design professionals in the West Midlands region.</w:t>
      </w:r>
    </w:p>
    <w:bookmarkStart w:id="20" w:name="introduction-to-uxui-design-principles"/>
    <w:p>
      <w:pPr>
        <w:pStyle w:val="Heading2"/>
      </w:pPr>
      <w:r>
        <w:t xml:space="preserve">Introduction to UX/UI Design Principles</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This seminal text is essential for any UX/UI Designer operating in the United Kingdom or globally. Norman establishes the fundamental principles of cognitive psychology as they apply to design. For a designer in Birmingham, where the city is undergoing rapid digital transformation in sectors such as finance and healthcare, understanding the user's mental model is critical. The book argues that good design is invisible, a concept that is highly relevant when creating digital services for the diverse population of the West Midlands. It provides the theoretical backbone necessary to justify design decisions to stakeholders in Birmingham's corporate sector.</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work is a practical guide to web usability that remains a staple in the toolkit of every UX/UI Designer. In the context of Birmingham’s growing startup ecosystem, particularly in areas like the Jewellery Quarter and Digbeth, agility and clarity are paramount. This book emphasizes the importance of intuitive navigation and reducing cognitive load. For UK designers adhering to the Government Digital Service (GDS) standards, Krug’s principles align closely with the requirement for clear, concise, and accessible digital interfaces. It is a concise resource for ensuring that digital products meet the expectations of British users.</w:t>
      </w:r>
    </w:p>
    <w:bookmarkEnd w:id="20"/>
    <w:bookmarkStart w:id="21" w:name="X318c10ecfc181416170be33f3bbacde643b5143"/>
    <w:p>
      <w:pPr>
        <w:pStyle w:val="Heading2"/>
      </w:pPr>
      <w:r>
        <w:t xml:space="preserve">The UK Digital Landscape and Accessibility</w:t>
      </w:r>
    </w:p>
    <w:p>
      <w:pPr>
        <w:pStyle w:val="FirstParagraph"/>
      </w:pPr>
      <w:r>
        <w:t xml:space="preserve">Government Digital Service. (2023).</w:t>
      </w:r>
      <w:r>
        <w:t xml:space="preserve"> </w:t>
      </w:r>
      <w:r>
        <w:rPr>
          <w:iCs/>
          <w:i/>
        </w:rPr>
        <w:t xml:space="preserve">Service Standard</w:t>
      </w:r>
      <w:r>
        <w:t xml:space="preserve">. UK Government.</w:t>
      </w:r>
    </w:p>
    <w:p>
      <w:pPr>
        <w:pStyle w:val="BodyText"/>
      </w:pPr>
      <w:r>
        <w:t xml:space="preserve">This document is crucial for UX/UI Designers working in the public sector or with government contractors in Birmingham. The Service Standard sets out the expectations for digital services in the UK, emphasizing user-centric design, accessibility, and continuous improvement. Birmingham City Council and various NHS trusts in the region frequently reference these standards when commissioning digital projects. Understanding this framework is non-negotiable for designers aiming to work on civic technology projects in the United Kingdom, ensuring that services are inclusive for all citizens, regardless of ability or background.</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While a global standard, WCAG 2.1 is legally significant in the United Kingdom due to the Public Sector Bodies (Websites and Mobile Applications) (No. 2) Accessibility Regulations 2018. For a UX/UI Designer in Birmingham, compliance with these guidelines is not optional but a legal requirement for many employers. This resource details how to make web content more accessible to people with disabilities. Given Birmingham’s commitment to social inclusion and diversity, designers must utilize this guide to ensure that digital interfaces are usable by the city’s multicultural and multi-ability population.</w:t>
      </w:r>
    </w:p>
    <w:bookmarkEnd w:id="21"/>
    <w:bookmarkStart w:id="22" w:name="X97b0c6919181dc469b03c0a7d3f206910b89c4e"/>
    <w:p>
      <w:pPr>
        <w:pStyle w:val="Heading2"/>
      </w:pPr>
      <w:r>
        <w:t xml:space="preserve">Professional Development and Local Context</w:t>
      </w:r>
    </w:p>
    <w:p>
      <w:pPr>
        <w:pStyle w:val="FirstParagraph"/>
      </w:pPr>
      <w:r>
        <w:t xml:space="preserve">Institute of Design and Digital Arts (IDDA). (2022).</w:t>
      </w:r>
      <w:r>
        <w:t xml:space="preserve"> </w:t>
      </w:r>
      <w:r>
        <w:rPr>
          <w:iCs/>
          <w:i/>
        </w:rPr>
        <w:t xml:space="preserve">UX Design Career Pathways in the UK</w:t>
      </w:r>
      <w:r>
        <w:t xml:space="preserve">. IDDA Publications.</w:t>
      </w:r>
    </w:p>
    <w:p>
      <w:pPr>
        <w:pStyle w:val="BodyText"/>
      </w:pPr>
      <w:r>
        <w:t xml:space="preserve">This report provides a comprehensive overview of the career trajectories available to UX/UI Designers within the United Kingdom. It highlights the shift from London-centric opportunities to regional hubs like Birmingham, Manchester, and Leeds. For aspiring designers in Birmingham, this document offers valuable insights into salary expectations, required skill sets, and the importance of portfolios. It underscores the growing demand for design thinking in Birmingham’s traditional industries, such as manufacturing and logistics, which are increasingly adopting digital solutions.</w:t>
      </w:r>
    </w:p>
    <w:p>
      <w:pPr>
        <w:pStyle w:val="BodyText"/>
      </w:pPr>
      <w:r>
        <w:t xml:space="preserve">Birmingham City Council. (2021).</w:t>
      </w:r>
      <w:r>
        <w:t xml:space="preserve"> </w:t>
      </w:r>
      <w:r>
        <w:rPr>
          <w:iCs/>
          <w:i/>
        </w:rPr>
        <w:t xml:space="preserve">Digital Birmingham Strategy</w:t>
      </w:r>
      <w:r>
        <w:t xml:space="preserve">.</w:t>
      </w:r>
    </w:p>
    <w:p>
      <w:pPr>
        <w:pStyle w:val="BodyText"/>
      </w:pPr>
      <w:r>
        <w:t xml:space="preserve">This strategic document outlines the city’s vision for becoming a leading digital economy hub in the United Kingdom. It is highly relevant for UX/UI Designers as it identifies key sectors for growth, including fintech, health tech, and creative industries. The strategy emphasizes the need for high-quality digital services to attract investment and talent. Designers in Birmingham can use this document to align their professional goals with the city’s development plans, identifying opportunities to contribute to projects that enhance the digital infrastructure of the region.</w:t>
      </w:r>
    </w:p>
    <w:bookmarkEnd w:id="22"/>
    <w:bookmarkStart w:id="23" w:name="design-tools-and-methodologies"/>
    <w:p>
      <w:pPr>
        <w:pStyle w:val="Heading2"/>
      </w:pPr>
      <w:r>
        <w:t xml:space="preserve">Design Tools and Methodologies</w:t>
      </w:r>
    </w:p>
    <w:p>
      <w:pPr>
        <w:pStyle w:val="FirstParagraph"/>
      </w:pPr>
      <w:r>
        <w:t xml:space="preserve">Garrett, J. J. (2010).</w:t>
      </w:r>
      <w:r>
        <w:t xml:space="preserve"> </w:t>
      </w:r>
      <w:r>
        <w:rPr>
          <w:iCs/>
          <w:i/>
        </w:rPr>
        <w:t xml:space="preserve">The Elements of User Experience: User-Centered Design for the Web and Beyond</w:t>
      </w:r>
      <w:r>
        <w:t xml:space="preserve"> </w:t>
      </w:r>
      <w:r>
        <w:t xml:space="preserve">(2nd ed.). New Riders.</w:t>
      </w:r>
    </w:p>
    <w:p>
      <w:pPr>
        <w:pStyle w:val="BodyText"/>
      </w:pPr>
      <w:r>
        <w:t xml:space="preserve">Jesse James Garrett’s book provides a structured approach to the UX design process, breaking it down into five planes: strategy, scope, structure, skeleton, and surface. This framework is widely taught in UK universities, including those in Birmingham such as Birmingham City University and the University of Birmingham. For a UX/UI Designer, this text serves as a reminder to look beyond the visual interface (UI) and consider the broader user experience. It is particularly useful when collaborating with cross-functional teams in Birmingham’s tech firms, ensuring that design decisions are grounded in business goals and user needs.</w:t>
      </w:r>
    </w:p>
    <w:p>
      <w:pPr>
        <w:pStyle w:val="BodyText"/>
      </w:pPr>
      <w:r>
        <w:t xml:space="preserve">Nielsen Norman Group. (2023).</w:t>
      </w:r>
      <w:r>
        <w:t xml:space="preserve"> </w:t>
      </w:r>
      <w:r>
        <w:rPr>
          <w:iCs/>
          <w:i/>
        </w:rPr>
        <w:t xml:space="preserve">UX Design Fundamentals</w:t>
      </w:r>
      <w:r>
        <w:t xml:space="preserve">. NN/g.</w:t>
      </w:r>
    </w:p>
    <w:p>
      <w:pPr>
        <w:pStyle w:val="BodyText"/>
      </w:pPr>
      <w:r>
        <w:t xml:space="preserve">The Nielsen Norman Group is a leading authority in user experience research. Their online resources and articles provide evidence-based guidance on UX/UI best practices. For designers in Birmingham, staying updated with NN/g research is vital for maintaining competitiveness in the UK job market. Their insights on mobile design, interaction patterns, and usability testing are directly applicable to the projects undertaken by Birmingham’s digital agencies. This resource helps designers justify their choices with data, a skill highly valued by employers in the United Kingdom’s mature digital sector.</w:t>
      </w:r>
    </w:p>
    <w:bookmarkEnd w:id="23"/>
    <w:bookmarkStart w:id="24" w:name="conclusion"/>
    <w:p>
      <w:pPr>
        <w:pStyle w:val="Heading2"/>
      </w:pPr>
      <w:r>
        <w:t xml:space="preserve">Conclusion</w:t>
      </w:r>
    </w:p>
    <w:p>
      <w:pPr>
        <w:pStyle w:val="FirstParagraph"/>
      </w:pPr>
      <w:r>
        <w:t xml:space="preserve">The profession of the UX/UI Designer in Birmingham, United Kingdom, is shaped by a combination of global design principles and local regulatory and economic factors. The resources listed in this annotated bibliography provide a solid foundation for understanding the theoretical, practical, and contextual aspects of the role. From adhering to UK accessibility laws to leveraging Birmingham’s digital strategy, designers must be well-informed and adaptable. This bibliography serves as a starting point for continuous learning and professional development in this dynamic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Birmingham, United Kingdom</dc:title>
  <dc:creator/>
  <dc:language>en</dc:language>
  <cp:keywords/>
  <dcterms:created xsi:type="dcterms:W3CDTF">2026-08-07T00:36:59Z</dcterms:created>
  <dcterms:modified xsi:type="dcterms:W3CDTF">2026-08-07T00:36:59Z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