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Caracas,</w:t>
      </w:r>
      <w:r>
        <w:t xml:space="preserve"> </w:t>
      </w:r>
      <w:r>
        <w:t xml:space="preserve">Venezuela</w:t>
      </w:r>
    </w:p>
    <w:bookmarkStart w:id="20" w:name="X0ca1d07666882120ab753ceee0f8f7a728304fc"/>
    <w:p>
      <w:pPr>
        <w:pStyle w:val="Heading1"/>
      </w:pPr>
      <w:r>
        <w:t xml:space="preserve">Annotated Bibliography: UX/UI Design in Caracas, Venezuela</w:t>
      </w:r>
    </w:p>
    <w:p>
      <w:pPr>
        <w:pStyle w:val="FirstParagraph"/>
      </w:pPr>
      <w:r>
        <w:t xml:space="preserve">A curated collection of resources focusing on User Experience and Interface Design principles adapted to the technological, economic, and cultural landscape of Caracas.</w:t>
      </w:r>
    </w:p>
    <w:bookmarkEnd w:id="20"/>
    <w:p>
      <w:pPr>
        <w:pStyle w:val="BodyText"/>
      </w:pPr>
      <w:r>
        <w:t xml:space="preserve">The role of the</w:t>
      </w:r>
      <w:r>
        <w:t xml:space="preserve"> </w:t>
      </w:r>
      <w:r>
        <w:rPr>
          <w:bCs/>
          <w:b/>
        </w:rPr>
        <w:t xml:space="preserve">UX/UI Designer</w:t>
      </w:r>
      <w:r>
        <w:t xml:space="preserve"> </w:t>
      </w:r>
      <w:r>
        <w:t xml:space="preserve">in</w:t>
      </w:r>
      <w:r>
        <w:t xml:space="preserve"> </w:t>
      </w:r>
      <w:r>
        <w:rPr>
          <w:bCs/>
          <w:b/>
        </w:rPr>
        <w:t xml:space="preserve">Venezuela, specifically Caracas</w:t>
      </w:r>
      <w:r>
        <w:t xml:space="preserve">, is distinct from global standards due to unique infrastructural challenges. Designers in this region must account for intermittent internet connectivity, high mobile data costs, and a user base that often relies on older hardware. This annotated bibliography compiles essential literature and resources that address these specific constraints, offering strategies for creating resilient, accessible, and culturally relevant digital products for the Venezuelan market.</w:t>
      </w:r>
    </w:p>
    <w:bookmarkStart w:id="21" w:name="foundations-of-uxui-design"/>
    <w:p>
      <w:pPr>
        <w:pStyle w:val="Heading2"/>
      </w:pPr>
      <w:r>
        <w:t xml:space="preserve">Foundations of UX/UI Design</w:t>
      </w:r>
    </w:p>
    <w:p>
      <w:pPr>
        <w:pStyle w:val="FirstParagraph"/>
      </w:pPr>
      <w:r>
        <w:t xml:space="preserve">Nielsen, J. (1994).</w:t>
      </w:r>
      <w:r>
        <w:t xml:space="preserve"> </w:t>
      </w:r>
      <w:r>
        <w:rPr>
          <w:iCs/>
          <w:i/>
        </w:rPr>
        <w:t xml:space="preserve">10 Usability Heuristics for User Interface Design</w:t>
      </w:r>
      <w:r>
        <w:t xml:space="preserve">. Nielsen Norman Group.</w:t>
      </w:r>
    </w:p>
    <w:p>
      <w:pPr>
        <w:pStyle w:val="BodyText"/>
      </w:pPr>
      <w:r>
        <w:t xml:space="preserve">This seminal work establishes the fundamental principles of usability that remain critical for any</w:t>
      </w:r>
      <w:r>
        <w:t xml:space="preserve"> </w:t>
      </w:r>
      <w:r>
        <w:rPr>
          <w:bCs/>
          <w:b/>
        </w:rPr>
        <w:t xml:space="preserve">UX/UI Designer</w:t>
      </w:r>
      <w:r>
        <w:t xml:space="preserve">. For a designer operating in</w:t>
      </w:r>
      <w:r>
        <w:t xml:space="preserve"> </w:t>
      </w:r>
      <w:r>
        <w:rPr>
          <w:bCs/>
          <w:b/>
        </w:rPr>
        <w:t xml:space="preserve">Caracas</w:t>
      </w:r>
      <w:r>
        <w:t xml:space="preserve">, Nielsen’s heuristics—particularly "System status visibility" and "Error prevention"—are paramount. In an environment where network latency is common, providing clear feedback on system status is not just a best practice but a necessity to maintain user trust. This resource serves as the theoretical backbone for ensuring that digital interfaces in Venezuela are intuitive and forgiving of technical glitches.</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Norman’s exploration of human-centered design is essential for understanding the cognitive load placed on users. In the context of</w:t>
      </w:r>
      <w:r>
        <w:t xml:space="preserve"> </w:t>
      </w:r>
      <w:r>
        <w:rPr>
          <w:bCs/>
          <w:b/>
        </w:rPr>
        <w:t xml:space="preserve">Venezuela</w:t>
      </w:r>
      <w:r>
        <w:t xml:space="preserve">, where users may be navigating complex bureaucratic or financial digital tools due to economic instability, reducing cognitive friction is vital. This book guides the</w:t>
      </w:r>
      <w:r>
        <w:t xml:space="preserve"> </w:t>
      </w:r>
      <w:r>
        <w:rPr>
          <w:bCs/>
          <w:b/>
        </w:rPr>
        <w:t xml:space="preserve">UX/UI Designer</w:t>
      </w:r>
      <w:r>
        <w:t xml:space="preserve"> </w:t>
      </w:r>
      <w:r>
        <w:t xml:space="preserve">in creating interfaces that are self-explanatory, reducing the need for extensive training or support, which is often scarce in local tech ecosystems.</w:t>
      </w:r>
    </w:p>
    <w:bookmarkEnd w:id="21"/>
    <w:bookmarkStart w:id="22" w:name="mobile-first-and-low-bandwidth-design"/>
    <w:p>
      <w:pPr>
        <w:pStyle w:val="Heading2"/>
      </w:pPr>
      <w:r>
        <w:t xml:space="preserve">Mobile-First and Low-Bandwidth Design</w:t>
      </w:r>
    </w:p>
    <w:p>
      <w:pPr>
        <w:pStyle w:val="FirstParagraph"/>
      </w:pPr>
      <w:r>
        <w:t xml:space="preserve">Kruger, R. (2014).</w:t>
      </w:r>
      <w:r>
        <w:t xml:space="preserve"> </w:t>
      </w:r>
      <w:r>
        <w:rPr>
          <w:iCs/>
          <w:i/>
        </w:rPr>
        <w:t xml:space="preserve">Don't Make Me Think, Revisited: A Common Sense Approach to Web Usability</w:t>
      </w:r>
      <w:r>
        <w:t xml:space="preserve">. New Riders.</w:t>
      </w:r>
    </w:p>
    <w:p>
      <w:pPr>
        <w:pStyle w:val="BodyText"/>
      </w:pPr>
      <w:r>
        <w:t xml:space="preserve">Kruger’s emphasis on simplicity is directly applicable to the mobile-heavy user base in</w:t>
      </w:r>
      <w:r>
        <w:t xml:space="preserve"> </w:t>
      </w:r>
      <w:r>
        <w:rPr>
          <w:bCs/>
          <w:b/>
        </w:rPr>
        <w:t xml:space="preserve">Caracas</w:t>
      </w:r>
      <w:r>
        <w:t xml:space="preserve">. With a significant portion of the population accessing the internet via smartphones with limited data plans, the</w:t>
      </w:r>
      <w:r>
        <w:t xml:space="preserve"> </w:t>
      </w:r>
      <w:r>
        <w:rPr>
          <w:bCs/>
          <w:b/>
        </w:rPr>
        <w:t xml:space="preserve">UX/UI Designer</w:t>
      </w:r>
      <w:r>
        <w:t xml:space="preserve"> </w:t>
      </w:r>
      <w:r>
        <w:t xml:space="preserve">must prioritize lightweight interfaces. This text advocates for removing unnecessary elements, which aligns perfectly with the need to optimize load times and data consumption for Venezuelan users who may be on metered connections.</w:t>
      </w:r>
    </w:p>
    <w:p>
      <w:pPr>
        <w:pStyle w:val="BodyText"/>
      </w:pPr>
      <w:r>
        <w:t xml:space="preserve">Google Developers. (2020).</w:t>
      </w:r>
      <w:r>
        <w:t xml:space="preserve"> </w:t>
      </w:r>
      <w:r>
        <w:rPr>
          <w:iCs/>
          <w:i/>
        </w:rPr>
        <w:t xml:space="preserve">Progressive Web Apps (PWA) Best Practices</w:t>
      </w:r>
      <w:r>
        <w:t xml:space="preserve">. Google Web Fundamentals.</w:t>
      </w:r>
    </w:p>
    <w:p>
      <w:pPr>
        <w:pStyle w:val="BodyText"/>
      </w:pPr>
      <w:r>
        <w:t xml:space="preserve">This technical documentation is crucial for</w:t>
      </w:r>
      <w:r>
        <w:t xml:space="preserve"> </w:t>
      </w:r>
      <w:r>
        <w:rPr>
          <w:bCs/>
          <w:b/>
        </w:rPr>
        <w:t xml:space="preserve">UX/UI Designers</w:t>
      </w:r>
      <w:r>
        <w:t xml:space="preserve"> </w:t>
      </w:r>
      <w:r>
        <w:t xml:space="preserve">in</w:t>
      </w:r>
      <w:r>
        <w:t xml:space="preserve"> </w:t>
      </w:r>
      <w:r>
        <w:rPr>
          <w:bCs/>
          <w:b/>
        </w:rPr>
        <w:t xml:space="preserve">Venezuela</w:t>
      </w:r>
      <w:r>
        <w:t xml:space="preserve"> </w:t>
      </w:r>
      <w:r>
        <w:t xml:space="preserve">who must design for unreliable connectivity. PWAs allow applications to function offline or on slow networks, a feature that is indispensable in</w:t>
      </w:r>
      <w:r>
        <w:t xml:space="preserve"> </w:t>
      </w:r>
      <w:r>
        <w:rPr>
          <w:bCs/>
          <w:b/>
        </w:rPr>
        <w:t xml:space="preserve">Caracas</w:t>
      </w:r>
      <w:r>
        <w:t xml:space="preserve"> </w:t>
      </w:r>
      <w:r>
        <w:t xml:space="preserve">where internet outages can occur. By integrating these principles, designers can ensure that critical services—such as banking, health, or communication apps—remain accessible even when infrastructure fails, directly addressing local pain points.</w:t>
      </w:r>
    </w:p>
    <w:bookmarkEnd w:id="22"/>
    <w:bookmarkStart w:id="23" w:name="cultural-context-and-localization"/>
    <w:p>
      <w:pPr>
        <w:pStyle w:val="Heading2"/>
      </w:pPr>
      <w:r>
        <w:t xml:space="preserve">Cultural Context and Localization</w:t>
      </w:r>
    </w:p>
    <w:p>
      <w:pPr>
        <w:pStyle w:val="FirstParagraph"/>
      </w:pPr>
      <w:r>
        <w:t xml:space="preserve">Hofstede, G. (2011).</w:t>
      </w:r>
      <w:r>
        <w:t xml:space="preserve"> </w:t>
      </w:r>
      <w:r>
        <w:rPr>
          <w:iCs/>
          <w:i/>
        </w:rPr>
        <w:t xml:space="preserve">Culture's Consequences: Comparing Values, Behaviors, Institutions and Organizations Across Nations</w:t>
      </w:r>
      <w:r>
        <w:t xml:space="preserve">. Sage Publications.</w:t>
      </w:r>
    </w:p>
    <w:p>
      <w:pPr>
        <w:pStyle w:val="BodyText"/>
      </w:pPr>
      <w:r>
        <w:t xml:space="preserve">Understanding cultural dimensions is key for a</w:t>
      </w:r>
      <w:r>
        <w:t xml:space="preserve"> </w:t>
      </w:r>
      <w:r>
        <w:rPr>
          <w:bCs/>
          <w:b/>
        </w:rPr>
        <w:t xml:space="preserve">UX/UI Designer</w:t>
      </w:r>
      <w:r>
        <w:t xml:space="preserve"> </w:t>
      </w:r>
      <w:r>
        <w:t xml:space="preserve">targeting the Venezuelan market. Hofstede’s framework highlights Venezuela’s high context culture and collectivism. This implies that design should incorporate social proof, community features, and warm, familiar visual language. For</w:t>
      </w:r>
      <w:r>
        <w:t xml:space="preserve"> </w:t>
      </w:r>
      <w:r>
        <w:rPr>
          <w:bCs/>
          <w:b/>
        </w:rPr>
        <w:t xml:space="preserve">Caracas</w:t>
      </w:r>
      <w:r>
        <w:t xml:space="preserve">, this means avoiding overly sterile or impersonal interfaces and instead designing experiences that resonate with local social dynamics and communication styles.</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often overlooked but is critical in</w:t>
      </w:r>
      <w:r>
        <w:t xml:space="preserve"> </w:t>
      </w:r>
      <w:r>
        <w:rPr>
          <w:bCs/>
          <w:b/>
        </w:rPr>
        <w:t xml:space="preserve">Venezuela</w:t>
      </w:r>
      <w:r>
        <w:t xml:space="preserve"> </w:t>
      </w:r>
      <w:r>
        <w:t xml:space="preserve">due to the prevalence of older devices and varying levels of digital literacy. WCAG 2.1 provides standards that ensure content is perceivable and operable for all users. For a</w:t>
      </w:r>
      <w:r>
        <w:t xml:space="preserve"> </w:t>
      </w:r>
      <w:r>
        <w:rPr>
          <w:bCs/>
          <w:b/>
        </w:rPr>
        <w:t xml:space="preserve">UX/UI Designer</w:t>
      </w:r>
      <w:r>
        <w:t xml:space="preserve"> </w:t>
      </w:r>
      <w:r>
        <w:t xml:space="preserve">in</w:t>
      </w:r>
      <w:r>
        <w:t xml:space="preserve"> </w:t>
      </w:r>
      <w:r>
        <w:rPr>
          <w:bCs/>
          <w:b/>
        </w:rPr>
        <w:t xml:space="preserve">Caracas</w:t>
      </w:r>
      <w:r>
        <w:t xml:space="preserve">, adhering to these guidelines ensures that applications are usable on low-resolution screens and by users who may not be tech-savvy, thereby expanding the product’s reach and inclusivity.</w:t>
      </w:r>
    </w:p>
    <w:bookmarkEnd w:id="23"/>
    <w:bookmarkStart w:id="24" w:name="Xb00514446d64ce04d3f5c3cf1f5c69819aa46d9"/>
    <w:p>
      <w:pPr>
        <w:pStyle w:val="Heading2"/>
      </w:pPr>
      <w:r>
        <w:t xml:space="preserve">Local Economic and Technological Realities</w:t>
      </w:r>
    </w:p>
    <w:p>
      <w:pPr>
        <w:pStyle w:val="FirstParagraph"/>
      </w:pPr>
      <w:r>
        <w:t xml:space="preserve">ITU. (2022).</w:t>
      </w:r>
      <w:r>
        <w:t xml:space="preserve"> </w:t>
      </w:r>
      <w:r>
        <w:rPr>
          <w:iCs/>
          <w:i/>
        </w:rPr>
        <w:t xml:space="preserve">Measuring Digital Development: Facts and Figures</w:t>
      </w:r>
      <w:r>
        <w:t xml:space="preserve">. International Telecommunication Union.</w:t>
      </w:r>
    </w:p>
    <w:p>
      <w:pPr>
        <w:pStyle w:val="BodyText"/>
      </w:pPr>
      <w:r>
        <w:t xml:space="preserve">This report provides data-driven insights into internet penetration and mobile usage trends in Latin America, including</w:t>
      </w:r>
      <w:r>
        <w:t xml:space="preserve"> </w:t>
      </w:r>
      <w:r>
        <w:rPr>
          <w:bCs/>
          <w:b/>
        </w:rPr>
        <w:t xml:space="preserve">Venezuela</w:t>
      </w:r>
      <w:r>
        <w:t xml:space="preserve">. For the</w:t>
      </w:r>
      <w:r>
        <w:t xml:space="preserve"> </w:t>
      </w:r>
      <w:r>
        <w:rPr>
          <w:bCs/>
          <w:b/>
        </w:rPr>
        <w:t xml:space="preserve">UX/UI Designer</w:t>
      </w:r>
      <w:r>
        <w:t xml:space="preserve">, this data is invaluable for making informed decisions about platform prioritization (e.g., mobile vs. desktop) and feature sets. Understanding the economic constraints reflected in these statistics helps designers in</w:t>
      </w:r>
      <w:r>
        <w:t xml:space="preserve"> </w:t>
      </w:r>
      <w:r>
        <w:rPr>
          <w:bCs/>
          <w:b/>
        </w:rPr>
        <w:t xml:space="preserve">Caracas</w:t>
      </w:r>
      <w:r>
        <w:t xml:space="preserve"> </w:t>
      </w:r>
      <w:r>
        <w:t xml:space="preserve">create cost-effective solutions that do not rely on high-end hardware or premium data subscriptions.</w:t>
      </w:r>
    </w:p>
    <w:p>
      <w:pPr>
        <w:pStyle w:val="BodyText"/>
      </w:pPr>
      <w:r>
        <w:t xml:space="preserve">Lidwell, W., Holden, K., &amp; Butler, J. (2010).</w:t>
      </w:r>
      <w:r>
        <w:t xml:space="preserve"> </w:t>
      </w:r>
      <w:r>
        <w:rPr>
          <w:iCs/>
          <w:i/>
        </w:rPr>
        <w:t xml:space="preserve">Universal Principles of Design</w:t>
      </w:r>
      <w:r>
        <w:t xml:space="preserve">. Rockport Publishers.</w:t>
      </w:r>
    </w:p>
    <w:p>
      <w:pPr>
        <w:pStyle w:val="BodyText"/>
      </w:pPr>
      <w:r>
        <w:t xml:space="preserve">This comprehensive reference covers psychological and design principles that are universally applicable but must be contextually adapted. For a</w:t>
      </w:r>
      <w:r>
        <w:t xml:space="preserve"> </w:t>
      </w:r>
      <w:r>
        <w:rPr>
          <w:bCs/>
          <w:b/>
        </w:rPr>
        <w:t xml:space="preserve">UX/UI Designer</w:t>
      </w:r>
      <w:r>
        <w:t xml:space="preserve"> </w:t>
      </w:r>
      <w:r>
        <w:t xml:space="preserve">in</w:t>
      </w:r>
      <w:r>
        <w:t xml:space="preserve"> </w:t>
      </w:r>
      <w:r>
        <w:rPr>
          <w:bCs/>
          <w:b/>
        </w:rPr>
        <w:t xml:space="preserve">Venezuela</w:t>
      </w:r>
      <w:r>
        <w:t xml:space="preserve">, principles like "Affordance" and "Feedback" are critical when designing for users who may be anxious about transaction failures due to economic volatility. Clear visual cues and reassurance mechanisms can significantly enhance user confidence in digital platforms within the</w:t>
      </w:r>
      <w:r>
        <w:t xml:space="preserve"> </w:t>
      </w:r>
      <w:r>
        <w:rPr>
          <w:bCs/>
          <w:b/>
        </w:rPr>
        <w:t xml:space="preserve">Caracas</w:t>
      </w:r>
      <w:r>
        <w:t xml:space="preserve"> </w:t>
      </w:r>
      <w:r>
        <w:t xml:space="preserve">market.</w:t>
      </w:r>
    </w:p>
    <w:p>
      <w:pPr>
        <w:pStyle w:val="BodyText"/>
      </w:pPr>
      <w:r>
        <w:t xml:space="preserve">© 2023 Annotated Bibliography for UX/UI Design in Caracas, Venezuela. All rights reserved.</w:t>
      </w:r>
    </w:p>
    <w:p>
      <w:pPr>
        <w:pStyle w:val="BodyText"/>
      </w:pPr>
      <w:r>
        <w:t xml:space="preserve">Prepared for educational and professional development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Caracas, Venezuela</dc:title>
  <dc:creator/>
  <dc:language>en</dc:language>
  <cp:keywords/>
  <dcterms:created xsi:type="dcterms:W3CDTF">2026-08-07T14:13:58Z</dcterms:created>
  <dcterms:modified xsi:type="dcterms:W3CDTF">2026-08-07T14:13:58Z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