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Berlin,</w:t>
      </w:r>
      <w:r>
        <w:t xml:space="preserve"> </w:t>
      </w:r>
      <w:r>
        <w:t xml:space="preserve">Germany</w:t>
      </w:r>
    </w:p>
    <w:bookmarkStart w:id="20" w:name="Xb9b44476faa682df0b772b2e2182671d53e1990"/>
    <w:p>
      <w:pPr>
        <w:pStyle w:val="Heading1"/>
      </w:pPr>
      <w:r>
        <w:t xml:space="preserve">Annotated Bibliography: The Web Designer in Berlin, Germany</w:t>
      </w:r>
    </w:p>
    <w:p>
      <w:pPr>
        <w:pStyle w:val="FirstParagraph"/>
      </w:pPr>
      <w:r>
        <w:rPr>
          <w:bCs/>
          <w:b/>
        </w:rPr>
        <w:t xml:space="preserve">Subject:</w:t>
      </w:r>
      <w:r>
        <w:t xml:space="preserve"> </w:t>
      </w:r>
      <w:r>
        <w:t xml:space="preserve">Web Design, Digital Culture, and Professional Practice</w:t>
      </w:r>
      <w:r>
        <w:br/>
      </w:r>
      <w:r>
        <w:rPr>
          <w:bCs/>
          <w:b/>
        </w:rPr>
        <w:t xml:space="preserve">Region:</w:t>
      </w:r>
      <w:r>
        <w:t xml:space="preserve"> </w:t>
      </w:r>
      <w:r>
        <w:t xml:space="preserve">Berlin, Germany</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Germany Berlin</w:t>
      </w:r>
      <w:r>
        <w:t xml:space="preserve">. It covers legal frameworks, cultural aesthetics, and professional standards relevant to digital creators operating in the German capital.</w:t>
      </w:r>
    </w:p>
    <w:bookmarkStart w:id="21" w:name="legal-and-regulatory-frameworks"/>
    <w:p>
      <w:pPr>
        <w:pStyle w:val="Heading2"/>
      </w:pPr>
      <w:r>
        <w:t xml:space="preserve">Legal and Regulatory Frameworks</w:t>
      </w:r>
    </w:p>
    <w:p>
      <w:pPr>
        <w:pStyle w:val="FirstParagraph"/>
      </w:pPr>
      <w:r>
        <w:t xml:space="preserve">Bundesministerium der Justiz und für Verbraucherschutz. (2018).</w:t>
      </w:r>
      <w:r>
        <w:t xml:space="preserve"> </w:t>
      </w:r>
      <w:r>
        <w:rPr>
          <w:iCs/>
          <w:i/>
        </w:rPr>
        <w:t xml:space="preserve">Telemediengesetz (TMG) – Gesetz über den Rahmen für elektronische Geschäftsmodelle</w:t>
      </w:r>
      <w:r>
        <w:t xml:space="preserve">. Berlin: Bundesgesetzblatt.</w:t>
      </w:r>
    </w:p>
    <w:p>
      <w:pPr>
        <w:pStyle w:val="BodyText"/>
      </w:pPr>
      <w:r>
        <w:t xml:space="preserve">The Telemedia Act (TMG) is the foundational legal text for any</w:t>
      </w:r>
      <w:r>
        <w:t xml:space="preserve"> </w:t>
      </w:r>
      <w:r>
        <w:rPr>
          <w:bCs/>
          <w:b/>
        </w:rPr>
        <w:t xml:space="preserve">Web Designer</w:t>
      </w:r>
      <w:r>
        <w:t xml:space="preserve"> </w:t>
      </w:r>
      <w:r>
        <w:t xml:space="preserve">operating in</w:t>
      </w:r>
      <w:r>
        <w:t xml:space="preserve"> </w:t>
      </w:r>
      <w:r>
        <w:rPr>
          <w:bCs/>
          <w:b/>
        </w:rPr>
        <w:t xml:space="preserve">Germany Berlin</w:t>
      </w:r>
      <w:r>
        <w:t xml:space="preserve">. This source outlines the requirements for Impressum (imprint) pages, data privacy notices, and liability for content. For a designer in Berlin, understanding the TMG is not optional; it is a critical component of the design process. The document dictates how information must be structured and displayed to ensure legal compliance. This resource is vital for ensuring that the user interface (UI) includes necessary legal elements without compromising the aesthetic integrity of the site.</w:t>
      </w:r>
    </w:p>
    <w:p>
      <w:pPr>
        <w:pStyle w:val="BodyText"/>
      </w:pPr>
      <w:r>
        <w:t xml:space="preserve">European Parliament and Council. (2016).</w:t>
      </w:r>
      <w:r>
        <w:t xml:space="preserve"> </w:t>
      </w:r>
      <w:r>
        <w:rPr>
          <w:iCs/>
          <w:i/>
        </w:rPr>
        <w:t xml:space="preserve">Regulation (EU) 2016/679 (General Data Protection Regulation)</w:t>
      </w:r>
      <w:r>
        <w:t xml:space="preserve">. Official Journal of the European Union.</w:t>
      </w:r>
    </w:p>
    <w:p>
      <w:pPr>
        <w:pStyle w:val="BodyText"/>
      </w:pPr>
      <w:r>
        <w:t xml:space="preserve">While an EU-wide regulation, the GDPR has a profound impact on</w:t>
      </w:r>
      <w:r>
        <w:t xml:space="preserve"> </w:t>
      </w:r>
      <w:r>
        <w:rPr>
          <w:bCs/>
          <w:b/>
        </w:rPr>
        <w:t xml:space="preserve">Web Designer</w:t>
      </w:r>
      <w:r>
        <w:t xml:space="preserve"> </w:t>
      </w:r>
      <w:r>
        <w:t xml:space="preserve">workflows in</w:t>
      </w:r>
      <w:r>
        <w:t xml:space="preserve"> </w:t>
      </w:r>
      <w:r>
        <w:rPr>
          <w:bCs/>
          <w:b/>
        </w:rPr>
        <w:t xml:space="preserve">Germany Berlin</w:t>
      </w:r>
      <w:r>
        <w:t xml:space="preserve">, where enforcement is particularly strict. This text details the requirements for user consent, cookie management, and data minimization. For a Berlin-based designer, this source informs the creation of cookie banners, privacy policy links, and form designs. It emphasizes that privacy is a design feature, not just a legal checkbox. This bibliography entry is essential for understanding how to design ethical, compliant digital experiences that respect the privacy expectations of German users.</w:t>
      </w:r>
    </w:p>
    <w:bookmarkEnd w:id="21"/>
    <w:bookmarkStart w:id="22" w:name="cultural-and-aesthetic-context"/>
    <w:p>
      <w:pPr>
        <w:pStyle w:val="Heading2"/>
      </w:pPr>
      <w:r>
        <w:t xml:space="preserve">Cultural and Aesthetic Context</w:t>
      </w:r>
    </w:p>
    <w:p>
      <w:pPr>
        <w:pStyle w:val="FirstParagraph"/>
      </w:pPr>
      <w:r>
        <w:t xml:space="preserve">Redtenbacher, M. (2019).</w:t>
      </w:r>
      <w:r>
        <w:t xml:space="preserve"> </w:t>
      </w:r>
      <w:r>
        <w:rPr>
          <w:iCs/>
          <w:i/>
        </w:rPr>
        <w:t xml:space="preserve">Berlin Digital: The Aesthetics of the Creative Capital</w:t>
      </w:r>
      <w:r>
        <w:t xml:space="preserve">. Berlin: Jovis Verlag.</w:t>
      </w:r>
    </w:p>
    <w:p>
      <w:pPr>
        <w:pStyle w:val="BodyText"/>
      </w:pPr>
      <w:r>
        <w:t xml:space="preserve">This book provides a deep dive into the visual language that defines</w:t>
      </w:r>
      <w:r>
        <w:t xml:space="preserve"> </w:t>
      </w:r>
      <w:r>
        <w:rPr>
          <w:bCs/>
          <w:b/>
        </w:rPr>
        <w:t xml:space="preserve">Germany Berlin</w:t>
      </w:r>
      <w:r>
        <w:t xml:space="preserve"> </w:t>
      </w:r>
      <w:r>
        <w:t xml:space="preserve">in the digital age. It explores how the city's history, architecture, and counter-culture influence the work of local</w:t>
      </w:r>
      <w:r>
        <w:t xml:space="preserve"> </w:t>
      </w:r>
      <w:r>
        <w:rPr>
          <w:bCs/>
          <w:b/>
        </w:rPr>
        <w:t xml:space="preserve">Web Designer</w:t>
      </w:r>
      <w:r>
        <w:t xml:space="preserve"> </w:t>
      </w:r>
      <w:r>
        <w:t xml:space="preserve">professionals. The text argues that Berlin web design often favors brutalist layouts, high contrast, and experimental typography over polished corporate minimalism. For a designer seeking to create authentic work in this market, this source offers critical insights into local taste and cultural expectations. It bridges the gap between technical design skills and cultural fluency.</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Although a general cultural theory text, Hofstede’s work is indispensable for a</w:t>
      </w:r>
      <w:r>
        <w:t xml:space="preserve"> </w:t>
      </w:r>
      <w:r>
        <w:rPr>
          <w:bCs/>
          <w:b/>
        </w:rPr>
        <w:t xml:space="preserve">Web Designer</w:t>
      </w:r>
      <w:r>
        <w:t xml:space="preserve"> </w:t>
      </w:r>
      <w:r>
        <w:t xml:space="preserve">navigating the</w:t>
      </w:r>
      <w:r>
        <w:t xml:space="preserve"> </w:t>
      </w:r>
      <w:r>
        <w:rPr>
          <w:bCs/>
          <w:b/>
        </w:rPr>
        <w:t xml:space="preserve">Germany Berlin</w:t>
      </w:r>
      <w:r>
        <w:t xml:space="preserve"> </w:t>
      </w:r>
      <w:r>
        <w:t xml:space="preserve">market. Germany scores high on "Uncertainty Avoidance" and "Low Context Communication." This implies that German users expect websites to be highly structured, informative, and transparent. Ambiguity in navigation or vague value propositions are often poorly received. This source helps designers understand why clarity, detailed information, and logical hierarchy are paramount in German web design, contrasting with more implicit design styles found in other regions.</w:t>
      </w:r>
    </w:p>
    <w:bookmarkEnd w:id="22"/>
    <w:bookmarkStart w:id="23" w:name="Xe83c1c256edebe7f1bcd2daf3c0b25170868f58"/>
    <w:p>
      <w:pPr>
        <w:pStyle w:val="Heading2"/>
      </w:pPr>
      <w:r>
        <w:t xml:space="preserve">Professional Practice and Market Dynamics</w:t>
      </w:r>
    </w:p>
    <w:p>
      <w:pPr>
        <w:pStyle w:val="FirstParagraph"/>
      </w:pPr>
      <w:r>
        <w:t xml:space="preserve">Bundesverband Internetwirtschaft e.V. (Bitkom). (2022).</w:t>
      </w:r>
      <w:r>
        <w:t xml:space="preserve"> </w:t>
      </w:r>
      <w:r>
        <w:rPr>
          <w:iCs/>
          <w:i/>
        </w:rPr>
        <w:t xml:space="preserve">IT-Standort Berlin: Zahlen, Fakten, Trends</w:t>
      </w:r>
      <w:r>
        <w:t xml:space="preserve">. Berlin: Bitkom.</w:t>
      </w:r>
    </w:p>
    <w:p>
      <w:pPr>
        <w:pStyle w:val="BodyText"/>
      </w:pPr>
      <w:r>
        <w:t xml:space="preserve">Bitkom is the leading association for the IT, telecommunications, and new media industry in</w:t>
      </w:r>
      <w:r>
        <w:t xml:space="preserve"> </w:t>
      </w:r>
      <w:r>
        <w:rPr>
          <w:bCs/>
          <w:b/>
        </w:rPr>
        <w:t xml:space="preserve">Germany Berlin</w:t>
      </w:r>
      <w:r>
        <w:t xml:space="preserve">. This report provides statistical data on the demand for digital services, the growth of startups, and the skills required by employers. For a</w:t>
      </w:r>
      <w:r>
        <w:t xml:space="preserve"> </w:t>
      </w:r>
      <w:r>
        <w:rPr>
          <w:bCs/>
          <w:b/>
        </w:rPr>
        <w:t xml:space="preserve">Web Designer</w:t>
      </w:r>
      <w:r>
        <w:t xml:space="preserve">, this document is a strategic tool for career planning. It highlights the increasing demand for UX/UI skills, accessibility compliance, and full-stack capabilities within the Berlin tech scene. It offers a factual basis for understanding the competitive landscape and salary expectations in the region.</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a major focus in</w:t>
      </w:r>
      <w:r>
        <w:t xml:space="preserve"> </w:t>
      </w:r>
      <w:r>
        <w:rPr>
          <w:bCs/>
          <w:b/>
        </w:rPr>
        <w:t xml:space="preserve">Germany Berlin</w:t>
      </w:r>
      <w:r>
        <w:t xml:space="preserve">, driven by both legal requirements (BITV) and a strong social consciousness. This technical standard is the global benchmark for accessible web design. For a</w:t>
      </w:r>
      <w:r>
        <w:t xml:space="preserve"> </w:t>
      </w:r>
      <w:r>
        <w:rPr>
          <w:bCs/>
          <w:b/>
        </w:rPr>
        <w:t xml:space="preserve">Web Designer</w:t>
      </w:r>
      <w:r>
        <w:t xml:space="preserve"> </w:t>
      </w:r>
      <w:r>
        <w:t xml:space="preserve">in Berlin, adherence to WCAG is often a contractual requirement for public sector and large corporate clients. This resource details how to ensure websites are usable by people with disabilities, covering color contrast, keyboard navigation, and screen reader compatibility. It is a practical manual for creating inclusive designs that meet German regulatory standards.</w:t>
      </w:r>
    </w:p>
    <w:p>
      <w:pPr>
        <w:pStyle w:val="BodyText"/>
      </w:pPr>
      <w:r>
        <w:t xml:space="preserve">Kraus, S., &amp; Schmitt, A. (2020).</w:t>
      </w:r>
      <w:r>
        <w:t xml:space="preserve"> </w:t>
      </w:r>
      <w:r>
        <w:rPr>
          <w:iCs/>
          <w:i/>
        </w:rPr>
        <w:t xml:space="preserve">Freelancing in Germany: A Guide for Digital Nomads and Creatives</w:t>
      </w:r>
      <w:r>
        <w:t xml:space="preserve">. Berlin: Self-Publishing.</w:t>
      </w:r>
    </w:p>
    <w:p>
      <w:pPr>
        <w:pStyle w:val="BodyText"/>
      </w:pPr>
      <w:r>
        <w:t xml:space="preserve">A significant portion of</w:t>
      </w:r>
      <w:r>
        <w:t xml:space="preserve"> </w:t>
      </w:r>
      <w:r>
        <w:rPr>
          <w:bCs/>
          <w:b/>
        </w:rPr>
        <w:t xml:space="preserve">Web Designer</w:t>
      </w:r>
      <w:r>
        <w:t xml:space="preserve"> </w:t>
      </w:r>
      <w:r>
        <w:t xml:space="preserve">professionals in</w:t>
      </w:r>
      <w:r>
        <w:t xml:space="preserve"> </w:t>
      </w:r>
      <w:r>
        <w:rPr>
          <w:bCs/>
          <w:b/>
        </w:rPr>
        <w:t xml:space="preserve">Germany Berlin</w:t>
      </w:r>
      <w:r>
        <w:t xml:space="preserve"> </w:t>
      </w:r>
      <w:r>
        <w:t xml:space="preserve">work as freelancers. This guide addresses the administrative realities of this lifestyle, including tax obligations, health insurance, and contract law. It explains the concept of the "Freiberufler" (liberal profession) status, which is crucial for designers to understand for tax purposes. This source is practical and administrative, ensuring that designers can focus on their craft while remaining compliant with German bureaucratic systems. It is an essential read for anyone establishing a design practice in the city.</w:t>
      </w:r>
    </w:p>
    <w:p>
      <w:pPr>
        <w:pStyle w:val="BodyText"/>
      </w:pPr>
      <w:r>
        <w:t xml:space="preserve">Nielsen Norman Group. (2021).</w:t>
      </w:r>
      <w:r>
        <w:t xml:space="preserve"> </w:t>
      </w:r>
      <w:r>
        <w:rPr>
          <w:iCs/>
          <w:i/>
        </w:rPr>
        <w:t xml:space="preserve">UX Design for European Markets</w:t>
      </w:r>
      <w:r>
        <w:t xml:space="preserve">. Nielsen Norman Group Insights.</w:t>
      </w:r>
    </w:p>
    <w:p>
      <w:pPr>
        <w:pStyle w:val="BodyText"/>
      </w:pPr>
      <w:r>
        <w:t xml:space="preserve">This article series examines how UX principles must be adapted for European audiences, with specific case studies from</w:t>
      </w:r>
      <w:r>
        <w:t xml:space="preserve"> </w:t>
      </w:r>
      <w:r>
        <w:rPr>
          <w:bCs/>
          <w:b/>
        </w:rPr>
        <w:t xml:space="preserve">Germany Berlin</w:t>
      </w:r>
      <w:r>
        <w:t xml:space="preserve">. It highlights the preference for dense information architecture and the skepticism towards aggressive marketing tactics. For a</w:t>
      </w:r>
      <w:r>
        <w:t xml:space="preserve"> </w:t>
      </w:r>
      <w:r>
        <w:rPr>
          <w:bCs/>
          <w:b/>
        </w:rPr>
        <w:t xml:space="preserve">Web Designer</w:t>
      </w:r>
      <w:r>
        <w:t xml:space="preserve">, this source provides evidence-based strategies for improving conversion rates and user satisfaction. It emphasizes that trust is built through transparency and functionality, key traits valued by Berlin users. This resource connects global UX best practices with local behavioral nuances.</w:t>
      </w:r>
    </w:p>
    <w:bookmarkEnd w:id="23"/>
    <w:p>
      <w:pPr>
        <w:pStyle w:val="BodyText"/>
      </w:pPr>
      <w:r>
        <w:t xml:space="preserve">© 2023 Annotated Bibliography on Web Design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Berlin, Germany</dc:title>
  <dc:creator/>
  <dc:language>en</dc:language>
  <cp:keywords/>
  <dcterms:created xsi:type="dcterms:W3CDTF">2026-08-08T01:27:41Z</dcterms:created>
  <dcterms:modified xsi:type="dcterms:W3CDTF">2026-08-08T01:27:41Z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