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Frankfurt,</w:t>
      </w:r>
      <w:r>
        <w:t xml:space="preserve"> </w:t>
      </w:r>
      <w:r>
        <w:t xml:space="preserve">Germany</w:t>
      </w:r>
    </w:p>
    <w:bookmarkStart w:id="23" w:name="X0983958152ddbc3a0b90e6ec3bf31b38790d04f"/>
    <w:p>
      <w:pPr>
        <w:pStyle w:val="Heading1"/>
      </w:pPr>
      <w:r>
        <w:t xml:space="preserve">Annotated Bibliography: The Web Designer Landscape in Frankfurt, Germany</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economic and cultural context of</w:t>
      </w:r>
      <w:r>
        <w:t xml:space="preserve"> </w:t>
      </w:r>
      <w:r>
        <w:rPr>
          <w:bCs/>
          <w:b/>
        </w:rPr>
        <w:t xml:space="preserve">Frankfurt, Germany</w:t>
      </w:r>
      <w:r>
        <w:t xml:space="preserve">. As a global financial hub and a center for digital innovation, Frankfurt presents unique challenges and opportunities for web design professionals. The selected sources cover regulatory compliance (GDPR), local market trends, user experience (UX) standards in the DACH region, and the intersection of finance and digital aesthetics.</w:t>
      </w:r>
    </w:p>
    <w:bookmarkStart w:id="20" w:name="introduction"/>
    <w:p>
      <w:pPr>
        <w:pStyle w:val="Heading2"/>
      </w:pPr>
      <w:r>
        <w:t xml:space="preserve">Introduction</w:t>
      </w:r>
    </w:p>
    <w:p>
      <w:pPr>
        <w:pStyle w:val="FirstParagraph"/>
      </w:pPr>
      <w:r>
        <w:t xml:space="preserve">Frankfurt am Main is not merely a city of skyscrapers and banking; it is a rapidly evolving digital ecosystem. For a web designer operating in this region, success requires more than technical proficiency in HTML, CSS, and JavaScript. It demands a nuanced understanding of German business culture, strict data privacy laws, and the specific expectations of a highly educated, multilingual user base. The following bibliography provides a curated list of resources that address these critical aspects, serving as a foundational guide for professionals aiming to establish or enhance their web design practice in Frankfurt.</w:t>
      </w:r>
    </w:p>
    <w:bookmarkEnd w:id="20"/>
    <w:bookmarkStart w:id="21" w:name="bibliography"/>
    <w:p>
      <w:pPr>
        <w:pStyle w:val="Heading2"/>
      </w:pPr>
      <w:r>
        <w:t xml:space="preserve">Bibliography</w:t>
      </w:r>
    </w:p>
    <w:p>
      <w:pPr>
        <w:pStyle w:val="FirstParagraph"/>
      </w:pPr>
      <w:r>
        <w:t xml:space="preserve">Bundesministerium der Justiz und für Verbraucherschutz. (2018).</w:t>
      </w:r>
      <w:r>
        <w:t xml:space="preserve"> </w:t>
      </w:r>
      <w:r>
        <w:rPr>
          <w:iCs/>
          <w:i/>
        </w:rPr>
        <w:t xml:space="preserve">General Data Protection Regulation (GDPR) / Datenschutz-Grundverordnung (DSGVO)</w:t>
      </w:r>
      <w:r>
        <w:t xml:space="preserve">. Berlin: Federal Ministry of Justice and Consumer Protection.</w:t>
      </w:r>
    </w:p>
    <w:p>
      <w:pPr>
        <w:pStyle w:val="BodyText"/>
      </w:pPr>
      <w:r>
        <w:t xml:space="preserve">This primary legal document is indispensable for any web designer working in Germany, including Frankfurt. It outlines the strict requirements for data collection, cookie consent, and user privacy. For web designers, this source dictates the technical implementation of privacy policies, cookie banners, and data handling forms. Understanding the DSGVO is not optional; it is a legal prerequisite for operating a compliant website in the Frankfurt market, where regulatory scrutiny is high due to the presence of major financial institutions.</w:t>
      </w:r>
    </w:p>
    <w:p>
      <w:pPr>
        <w:pStyle w:val="BodyText"/>
      </w:pPr>
      <w:r>
        <w:t xml:space="preserve">Statista. (2023).</w:t>
      </w:r>
      <w:r>
        <w:t xml:space="preserve"> </w:t>
      </w:r>
      <w:r>
        <w:rPr>
          <w:iCs/>
          <w:i/>
        </w:rPr>
        <w:t xml:space="preserve">Internet Usage and E-Commerce Trends in Germany</w:t>
      </w:r>
      <w:r>
        <w:t xml:space="preserve">. Hamburg: Statista AG.</w:t>
      </w:r>
    </w:p>
    <w:p>
      <w:pPr>
        <w:pStyle w:val="BodyText"/>
      </w:pPr>
      <w:r>
        <w:t xml:space="preserve">Statista provides comprehensive data on digital behavior within Germany. This resource is vital for web designers in Frankfurt to understand the local demographic’s online habits, device preferences, and e-commerce expectations. The data highlights the high penetration of mobile internet usage in urban centers like Frankfurt, emphasizing the necessity of responsive design. Furthermore, it offers insights into the purchasing power of the Hesse region, allowing designers to tailor user interfaces that align with the sophisticated expectations of Frankfurt’s affluent consumer base.</w:t>
      </w:r>
    </w:p>
    <w:p>
      <w:pPr>
        <w:pStyle w:val="BodyText"/>
      </w:pPr>
      <w:r>
        <w:t xml:space="preserve">Nielsen Norman Group. (2022).</w:t>
      </w:r>
      <w:r>
        <w:t xml:space="preserve"> </w:t>
      </w:r>
      <w:r>
        <w:rPr>
          <w:iCs/>
          <w:i/>
        </w:rPr>
        <w:t xml:space="preserve">UX Design Standards for Financial Services</w:t>
      </w:r>
      <w:r>
        <w:t xml:space="preserve">. Palo Alto, CA: Nielsen Norman Group.</w:t>
      </w:r>
    </w:p>
    <w:p>
      <w:pPr>
        <w:pStyle w:val="BodyText"/>
      </w:pPr>
      <w:r>
        <w:t xml:space="preserve">Given Frankfurt’s status as the financial capital of the Eurozone, many web design projects in the city are tied to banking, fintech, and insurance sectors. This publication by the Nielsen Norman Group offers critical guidelines on designing trustworthy, secure, and user-friendly interfaces for financial applications. For a web designer in Frankfurt, applying these UX principles is essential to meet the high standards of clarity and security expected by German users, who are known for their skepticism towards digital financial services.</w:t>
      </w:r>
    </w:p>
    <w:p>
      <w:pPr>
        <w:pStyle w:val="BodyText"/>
      </w:pPr>
      <w:r>
        <w:t xml:space="preserve">W3C. (2018).</w:t>
      </w:r>
      <w:r>
        <w:t xml:space="preserve"> </w:t>
      </w:r>
      <w:r>
        <w:rPr>
          <w:iCs/>
          <w:i/>
        </w:rPr>
        <w:t xml:space="preserve">Web Content Accessibility Guidelines (WCAG) 2.1</w:t>
      </w:r>
      <w:r>
        <w:t xml:space="preserve">. W3C Recommendation. W3C Consortium.</w:t>
      </w:r>
    </w:p>
    <w:p>
      <w:pPr>
        <w:pStyle w:val="BodyText"/>
      </w:pPr>
      <w:r>
        <w:t xml:space="preserve">Accessibility is a growing legal and ethical requirement in Germany. This international standard is increasingly referenced in German public procurement and corporate compliance. For web designers in Frankfurt, particularly those working with public sector clients or large corporations like Deutsche Bank or Commerzbank, adherence to WCAG 2.1 is crucial. This resource provides technical specifications for ensuring websites are accessible to users with disabilities, a key factor in avoiding legal challenges and ensuring inclusive design in the German market.</w:t>
      </w:r>
    </w:p>
    <w:p>
      <w:pPr>
        <w:pStyle w:val="BodyText"/>
      </w:pPr>
      <w:r>
        <w:t xml:space="preserve">Hochschule für Gestaltung Offenbach. (2021).</w:t>
      </w:r>
      <w:r>
        <w:t xml:space="preserve"> </w:t>
      </w:r>
      <w:r>
        <w:rPr>
          <w:iCs/>
          <w:i/>
        </w:rPr>
        <w:t xml:space="preserve">Design Culture in the Rhine-Main Region</w:t>
      </w:r>
      <w:r>
        <w:t xml:space="preserve">. Offenbach am Main: HfG Offenbach Press.</w:t>
      </w:r>
    </w:p>
    <w:p>
      <w:pPr>
        <w:pStyle w:val="BodyText"/>
      </w:pPr>
      <w:r>
        <w:t xml:space="preserve">This academic publication explores the design ethos prevalent in the Rhine-Main area, which includes Frankfurt. It discusses the blend of traditional German functionalism with modern digital aesthetics. For web designers, this text offers cultural context, explaining why German users often prefer clean, information-dense, and minimalist interfaces over flashy, animation-heavy designs. Understanding this regional design culture is essential for creating websites that resonate with local users and reflect the professional image expected in Frankfurt’s business environment.</w:t>
      </w:r>
    </w:p>
    <w:p>
      <w:pPr>
        <w:pStyle w:val="BodyText"/>
      </w:pPr>
      <w:r>
        <w:t xml:space="preserve">Frankfurt School of Finance &amp; Management. (2023).</w:t>
      </w:r>
      <w:r>
        <w:t xml:space="preserve"> </w:t>
      </w:r>
      <w:r>
        <w:rPr>
          <w:iCs/>
          <w:i/>
        </w:rPr>
        <w:t xml:space="preserve">Digital Transformation in the German Financial Sector</w:t>
      </w:r>
      <w:r>
        <w:t xml:space="preserve">. Frankfurt am Main: Frankfurt School Research Institute.</w:t>
      </w:r>
    </w:p>
    <w:p>
      <w:pPr>
        <w:pStyle w:val="BodyText"/>
      </w:pPr>
      <w:r>
        <w:t xml:space="preserve">This report analyzes how financial institutions in Frankfurt are adapting to digital demands. It is a valuable resource for web designers seeking to understand the client landscape. The report highlights the shift towards mobile-first banking apps and personalized digital experiences. By studying this document, web designers can anticipate the needs of potential clients in Frankfurt’s banking sector, positioning themselves as experts capable of delivering innovative, secure, and user-centric digital solutions that align with the industry’s transformation goals.</w:t>
      </w:r>
    </w:p>
    <w:p>
      <w:pPr>
        <w:pStyle w:val="BodyText"/>
      </w:pPr>
      <w:r>
        <w:t xml:space="preserve">Deutsches Institut für Normung (DIN). (2020).</w:t>
      </w:r>
      <w:r>
        <w:t xml:space="preserve"> </w:t>
      </w:r>
      <w:r>
        <w:rPr>
          <w:iCs/>
          <w:i/>
        </w:rPr>
        <w:t xml:space="preserve">DIN EN ISO 9241-11: Ergonomics of Human-System Interaction</w:t>
      </w:r>
      <w:r>
        <w:t xml:space="preserve">. Berlin: Beuth Verlag.</w:t>
      </w:r>
    </w:p>
    <w:p>
      <w:pPr>
        <w:pStyle w:val="BodyText"/>
      </w:pPr>
      <w:r>
        <w:t xml:space="preserve">This German standard defines usability in terms of effectiveness, efficiency, and satisfaction. It is frequently cited in German corporate environments as a benchmark for quality. For web designers in Frankfurt, referencing DIN standards can enhance professional credibility when presenting design concepts to corporate clients. This resource provides a framework for evaluating and improving the usability of web interfaces, ensuring that designs meet the rigorous quality expectations typical of German engineering and business culture.</w:t>
      </w:r>
    </w:p>
    <w:p>
      <w:pPr>
        <w:pStyle w:val="BodyText"/>
      </w:pPr>
      <w:r>
        <w:t xml:space="preserve">AIGA Design Mind &amp; Matter. (2022).</w:t>
      </w:r>
      <w:r>
        <w:t xml:space="preserve"> </w:t>
      </w:r>
      <w:r>
        <w:rPr>
          <w:iCs/>
          <w:i/>
        </w:rPr>
        <w:t xml:space="preserve">Global Perspectives on Web Design: The European Context</w:t>
      </w:r>
      <w:r>
        <w:t xml:space="preserve">. New York: AIGA.</w:t>
      </w:r>
    </w:p>
    <w:p>
      <w:pPr>
        <w:pStyle w:val="BodyText"/>
      </w:pPr>
      <w:r>
        <w:t xml:space="preserve">While not Germany-specific, this publication offers a comparative analysis of web design trends across Europe, with a focus on regulatory and cultural differences. It helps Frankfurt-based web designers understand how their work fits into the broader European digital landscape. The article discusses the balance between creative expression and regulatory compliance, a key challenge for designers in Germany. It also touches on the importance of multilingual design, a relevant consideration for Frankfurt’s international business community.</w:t>
      </w:r>
    </w:p>
    <w:bookmarkEnd w:id="21"/>
    <w:bookmarkStart w:id="22" w:name="conclusion"/>
    <w:p>
      <w:pPr>
        <w:pStyle w:val="Heading2"/>
      </w:pPr>
      <w:r>
        <w:t xml:space="preserve">Conclusion</w:t>
      </w:r>
    </w:p>
    <w:p>
      <w:pPr>
        <w:pStyle w:val="FirstParagraph"/>
      </w:pPr>
      <w:r>
        <w:t xml:space="preserve">The profession of a web designer in Frankfurt, Germany, is defined by a unique intersection of technical skill, legal compliance, and cultural awareness. The resources compiled in this annotated bibliography provide a comprehensive foundation for navigating this complex landscape. From the strictures of the GDPR to the usability standards of DIN, and from the financial sector’s digital demands to the regional design culture, these sources equip web designers with the knowledge necessary to succeed. By integrating these insights into their practice, web designers can create digital experiences that are not only visually compelling but also legally sound, culturally appropriate, and highly effective for the Frankfurt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Frankfurt, Germany</dc:title>
  <dc:creator/>
  <dc:language>en</dc:language>
  <cp:keywords/>
  <dcterms:created xsi:type="dcterms:W3CDTF">2026-08-07T19:48:49Z</dcterms:created>
  <dcterms:modified xsi:type="dcterms:W3CDTF">2026-08-07T19:48:49Z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