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Amsterdam,</w:t>
      </w:r>
      <w:r>
        <w:t xml:space="preserve"> </w:t>
      </w:r>
      <w:r>
        <w:t xml:space="preserve">Netherlands</w:t>
      </w:r>
    </w:p>
    <w:bookmarkStart w:id="21" w:name="annotated-bibliography"/>
    <w:p>
      <w:pPr>
        <w:pStyle w:val="Heading1"/>
      </w:pPr>
      <w:r>
        <w:t xml:space="preserve">Annotated Bibliography</w:t>
      </w:r>
    </w:p>
    <w:bookmarkStart w:id="20" w:name="X1b983041fe5ea13b07f0ff48606ef257f07d8a2"/>
    <w:p>
      <w:pPr>
        <w:pStyle w:val="Heading2"/>
      </w:pPr>
      <w:r>
        <w:t xml:space="preserve">Web Design Practices and Digital Culture in Amsterdam, Netherlands</w:t>
      </w:r>
    </w:p>
    <w:bookmarkEnd w:id="20"/>
    <w:bookmarkEnd w:id="21"/>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Amsterdam, Netherlands</w:t>
      </w:r>
      <w:r>
        <w:t xml:space="preserve">. As a global hub for digital innovation, Amsterdam presents a unique landscape where strict European regulations, a high demand for multilingual accessibility, and a distinct aesthetic sensibility converge. The following entries explore the technical, legal, and cultural frameworks that define web design in this region.</w:t>
      </w:r>
    </w:p>
    <w:p>
      <w:pPr>
        <w:pStyle w:val="BodyText"/>
      </w:pPr>
      <w:r>
        <w:t xml:space="preserve">European Commission. (2019).</w:t>
      </w:r>
      <w:r>
        <w:t xml:space="preserve"> </w:t>
      </w:r>
      <w:r>
        <w:rPr>
          <w:iCs/>
          <w:i/>
        </w:rPr>
        <w:t xml:space="preserve">Web Accessibility Directive (EU) 2016/2102: Implementation Guidelines for Member States.</w:t>
      </w:r>
      <w:r>
        <w:t xml:space="preserve"> </w:t>
      </w:r>
      <w:r>
        <w:t xml:space="preserve">Brussels: Publications Office of the European Union.</w:t>
      </w:r>
    </w:p>
    <w:p>
      <w:pPr>
        <w:pStyle w:val="BodyText"/>
      </w:pPr>
      <w:r>
        <w:t xml:space="preserve">This document is foundational for any</w:t>
      </w:r>
      <w:r>
        <w:t xml:space="preserve"> </w:t>
      </w:r>
      <w:r>
        <w:rPr>
          <w:bCs/>
          <w:b/>
        </w:rPr>
        <w:t xml:space="preserve">Web Designer</w:t>
      </w:r>
      <w:r>
        <w:t xml:space="preserve"> </w:t>
      </w:r>
      <w:r>
        <w:t xml:space="preserve">operating in the</w:t>
      </w:r>
      <w:r>
        <w:t xml:space="preserve"> </w:t>
      </w:r>
      <w:r>
        <w:rPr>
          <w:bCs/>
          <w:b/>
        </w:rPr>
        <w:t xml:space="preserve">Netherlands</w:t>
      </w:r>
      <w:r>
        <w:t xml:space="preserve">. It outlines the mandatory accessibility requirements for public sector websites and mobile applications. For designers in</w:t>
      </w:r>
      <w:r>
        <w:t xml:space="preserve"> </w:t>
      </w:r>
      <w:r>
        <w:rPr>
          <w:bCs/>
          <w:b/>
        </w:rPr>
        <w:t xml:space="preserve">Amsterdam</w:t>
      </w:r>
      <w:r>
        <w:t xml:space="preserve">, this is not merely a guideline but a legal obligation. The text details how to ensure websites are perceivable, operable, understandable, and robust for users with disabilities. Understanding this directive is crucial for compliance with Dutch national law, which enforces these EU standards rigorously.</w:t>
      </w:r>
    </w:p>
    <w:p>
      <w:pPr>
        <w:pStyle w:val="BodyText"/>
      </w:pPr>
      <w:r>
        <w:t xml:space="preserve">Autoriteit Persoonsgegevens (Dutch Data Protection Authority). (2023).</w:t>
      </w:r>
      <w:r>
        <w:t xml:space="preserve"> </w:t>
      </w:r>
      <w:r>
        <w:rPr>
          <w:iCs/>
          <w:i/>
        </w:rPr>
        <w:t xml:space="preserve">GDPR Guidelines for Website Designers and Developers.</w:t>
      </w:r>
      <w:r>
        <w:t xml:space="preserve"> </w:t>
      </w:r>
      <w:r>
        <w:t xml:space="preserve">The Hague: AP.</w:t>
      </w:r>
    </w:p>
    <w:p>
      <w:pPr>
        <w:pStyle w:val="BodyText"/>
      </w:pPr>
      <w:r>
        <w:t xml:space="preserve">Given the</w:t>
      </w:r>
      <w:r>
        <w:t xml:space="preserve"> </w:t>
      </w:r>
      <w:r>
        <w:rPr>
          <w:bCs/>
          <w:b/>
        </w:rPr>
        <w:t xml:space="preserve">Netherlands</w:t>
      </w:r>
      <w:r>
        <w:t xml:space="preserve">' status as a founding member of the EU, adherence to the General Data Protection Regulation (GDPR) is paramount. This resource specifically addresses the role of the</w:t>
      </w:r>
      <w:r>
        <w:t xml:space="preserve"> </w:t>
      </w:r>
      <w:r>
        <w:rPr>
          <w:bCs/>
          <w:b/>
        </w:rPr>
        <w:t xml:space="preserve">Web Designer</w:t>
      </w:r>
      <w:r>
        <w:t xml:space="preserve"> </w:t>
      </w:r>
      <w:r>
        <w:t xml:space="preserve">in creating privacy-by-design interfaces. It covers cookie consent mechanisms, data minimization in forms, and user rights implementation. For a designer working in</w:t>
      </w:r>
      <w:r>
        <w:t xml:space="preserve"> </w:t>
      </w:r>
      <w:r>
        <w:rPr>
          <w:bCs/>
          <w:b/>
        </w:rPr>
        <w:t xml:space="preserve">Amsterdam</w:t>
      </w:r>
      <w:r>
        <w:t xml:space="preserve">, where tech startups and fintech companies are abundant, this document provides the necessary framework to avoid significant legal penalties while building trust with users.</w:t>
      </w:r>
    </w:p>
    <w:p>
      <w:pPr>
        <w:pStyle w:val="BodyText"/>
      </w:pPr>
      <w:r>
        <w:t xml:space="preserve">Van der Meer, J., &amp; De Vries, L. (2021).</w:t>
      </w:r>
      <w:r>
        <w:t xml:space="preserve"> </w:t>
      </w:r>
      <w:r>
        <w:rPr>
          <w:iCs/>
          <w:i/>
        </w:rPr>
        <w:t xml:space="preserve">Dutch Digital Aesthetics: Minimalism and Functionality in Amsterdam's Web Landscape.</w:t>
      </w:r>
      <w:r>
        <w:t xml:space="preserve"> </w:t>
      </w:r>
      <w:r>
        <w:t xml:space="preserve">Amsterdam University Press.</w:t>
      </w:r>
    </w:p>
    <w:p>
      <w:pPr>
        <w:pStyle w:val="BodyText"/>
      </w:pPr>
      <w:r>
        <w:t xml:space="preserve">This academic text analyzes the prevailing design trends in</w:t>
      </w:r>
      <w:r>
        <w:t xml:space="preserve"> </w:t>
      </w:r>
      <w:r>
        <w:rPr>
          <w:bCs/>
          <w:b/>
        </w:rPr>
        <w:t xml:space="preserve">Amsterdam</w:t>
      </w:r>
      <w:r>
        <w:t xml:space="preserve">. It argues that the local</w:t>
      </w:r>
      <w:r>
        <w:t xml:space="preserve"> </w:t>
      </w:r>
      <w:r>
        <w:rPr>
          <w:bCs/>
          <w:b/>
        </w:rPr>
        <w:t xml:space="preserve">Web Designer</w:t>
      </w:r>
      <w:r>
        <w:t xml:space="preserve"> </w:t>
      </w:r>
      <w:r>
        <w:t xml:space="preserve">community favors a "direct and functional" aesthetic, reflecting broader Dutch cultural values. The book contrasts this with more ornate design styles found elsewhere in Europe. It is an essential read for understanding the visual expectations of clients and users in the</w:t>
      </w:r>
      <w:r>
        <w:t xml:space="preserve"> </w:t>
      </w:r>
      <w:r>
        <w:rPr>
          <w:bCs/>
          <w:b/>
        </w:rPr>
        <w:t xml:space="preserve">Netherlands</w:t>
      </w:r>
      <w:r>
        <w:t xml:space="preserve">, emphasizing clarity, whitespace, and efficient navigation over decorative excess.</w:t>
      </w:r>
    </w:p>
    <w:p>
      <w:pPr>
        <w:pStyle w:val="BodyText"/>
      </w:pPr>
      <w:r>
        <w:t xml:space="preserve">Interactive Institute. (2022).</w:t>
      </w:r>
      <w:r>
        <w:t xml:space="preserve"> </w:t>
      </w:r>
      <w:r>
        <w:rPr>
          <w:iCs/>
          <w:i/>
        </w:rPr>
        <w:t xml:space="preserve">The State of UX/UI in the Netherlands: Annual Report.</w:t>
      </w:r>
      <w:r>
        <w:t xml:space="preserve"> </w:t>
      </w:r>
      <w:r>
        <w:t xml:space="preserve">Amsterdam: Interactive Institute.</w:t>
      </w:r>
    </w:p>
    <w:p>
      <w:pPr>
        <w:pStyle w:val="BodyText"/>
      </w:pPr>
      <w:r>
        <w:t xml:space="preserve">Produced by a leading design agency in</w:t>
      </w:r>
      <w:r>
        <w:t xml:space="preserve"> </w:t>
      </w:r>
      <w:r>
        <w:rPr>
          <w:bCs/>
          <w:b/>
        </w:rPr>
        <w:t xml:space="preserve">Amsterdam</w:t>
      </w:r>
      <w:r>
        <w:t xml:space="preserve">, this report offers statistical insights into the skills required of a modern</w:t>
      </w:r>
      <w:r>
        <w:t xml:space="preserve"> </w:t>
      </w:r>
      <w:r>
        <w:rPr>
          <w:bCs/>
          <w:b/>
        </w:rPr>
        <w:t xml:space="preserve">Web Designer</w:t>
      </w:r>
      <w:r>
        <w:t xml:space="preserve"> </w:t>
      </w:r>
      <w:r>
        <w:t xml:space="preserve">in the region. It highlights a growing demand for designers who can bridge the gap between visual design and front-end development. The report also discusses the importance of multilingual design systems, noting that websites in the</w:t>
      </w:r>
      <w:r>
        <w:t xml:space="preserve"> </w:t>
      </w:r>
      <w:r>
        <w:rPr>
          <w:bCs/>
          <w:b/>
        </w:rPr>
        <w:t xml:space="preserve">Netherlands</w:t>
      </w:r>
      <w:r>
        <w:t xml:space="preserve"> </w:t>
      </w:r>
      <w:r>
        <w:t xml:space="preserve">must seamlessly switch between Dutch and English to cater to the international population of</w:t>
      </w:r>
      <w:r>
        <w:t xml:space="preserve"> </w:t>
      </w:r>
      <w:r>
        <w:rPr>
          <w:bCs/>
          <w:b/>
        </w:rPr>
        <w:t xml:space="preserve">Amsterdam</w:t>
      </w:r>
      <w:r>
        <w:t xml:space="preserve">.</w:t>
      </w:r>
    </w:p>
    <w:p>
      <w:pPr>
        <w:pStyle w:val="BodyText"/>
      </w:pPr>
      <w:r>
        <w:t xml:space="preserve">Government of the Netherlands. (2020).</w:t>
      </w:r>
      <w:r>
        <w:t xml:space="preserve"> </w:t>
      </w:r>
      <w:r>
        <w:rPr>
          <w:iCs/>
          <w:i/>
        </w:rPr>
        <w:t xml:space="preserve">Design System for Government Websites (Dutch Design System).</w:t>
      </w:r>
      <w:r>
        <w:t xml:space="preserve"> </w:t>
      </w:r>
      <w:r>
        <w:t xml:space="preserve">The Hague: RVO.</w:t>
      </w:r>
    </w:p>
    <w:p>
      <w:pPr>
        <w:pStyle w:val="BodyText"/>
      </w:pPr>
      <w:r>
        <w:t xml:space="preserve">This is a practical toolkit for</w:t>
      </w:r>
      <w:r>
        <w:t xml:space="preserve"> </w:t>
      </w:r>
      <w:r>
        <w:rPr>
          <w:bCs/>
          <w:b/>
        </w:rPr>
        <w:t xml:space="preserve">Web Designers</w:t>
      </w:r>
      <w:r>
        <w:t xml:space="preserve"> </w:t>
      </w:r>
      <w:r>
        <w:t xml:space="preserve">working on public sector projects in the</w:t>
      </w:r>
      <w:r>
        <w:t xml:space="preserve"> </w:t>
      </w:r>
      <w:r>
        <w:rPr>
          <w:bCs/>
          <w:b/>
        </w:rPr>
        <w:t xml:space="preserve">Netherlands</w:t>
      </w:r>
      <w:r>
        <w:t xml:space="preserve">. It provides reusable components, typography rules, and color palettes that ensure consistency across government digital services. Even for private sector designers in</w:t>
      </w:r>
      <w:r>
        <w:t xml:space="preserve"> </w:t>
      </w:r>
      <w:r>
        <w:rPr>
          <w:bCs/>
          <w:b/>
        </w:rPr>
        <w:t xml:space="preserve">Amsterdam</w:t>
      </w:r>
      <w:r>
        <w:t xml:space="preserve">, this resource is valuable as it sets a high standard for usability and accessibility that influences the broader market. It exemplifies how the Dutch government leverages design to improve citizen engagement.</w:t>
      </w:r>
    </w:p>
    <w:p>
      <w:pPr>
        <w:pStyle w:val="BodyText"/>
      </w:pPr>
      <w:r>
        <w:t xml:space="preserve">Smits, R. (2023).</w:t>
      </w:r>
      <w:r>
        <w:t xml:space="preserve"> </w:t>
      </w:r>
      <w:r>
        <w:rPr>
          <w:iCs/>
          <w:i/>
        </w:rPr>
        <w:t xml:space="preserve">Freelancing in Amsterdam: A Guide for Creative Professionals.</w:t>
      </w:r>
      <w:r>
        <w:t xml:space="preserve"> </w:t>
      </w:r>
      <w:r>
        <w:t xml:space="preserve">Amsterdam: Creative Industries Federation.</w:t>
      </w:r>
    </w:p>
    <w:p>
      <w:pPr>
        <w:pStyle w:val="BodyText"/>
      </w:pPr>
      <w:r>
        <w:t xml:space="preserve">Many</w:t>
      </w:r>
      <w:r>
        <w:t xml:space="preserve"> </w:t>
      </w:r>
      <w:r>
        <w:rPr>
          <w:bCs/>
          <w:b/>
        </w:rPr>
        <w:t xml:space="preserve">Web Designers</w:t>
      </w:r>
      <w:r>
        <w:t xml:space="preserve"> </w:t>
      </w:r>
      <w:r>
        <w:t xml:space="preserve">in</w:t>
      </w:r>
      <w:r>
        <w:t xml:space="preserve"> </w:t>
      </w:r>
      <w:r>
        <w:rPr>
          <w:bCs/>
          <w:b/>
        </w:rPr>
        <w:t xml:space="preserve">Amsterdam</w:t>
      </w:r>
      <w:r>
        <w:t xml:space="preserve"> </w:t>
      </w:r>
      <w:r>
        <w:t xml:space="preserve">operate as freelancers or ZZP'ers (self-employed). This guide covers the administrative and cultural aspects of working in the Dutch creative sector. It discusses contract norms, invoicing practices, and the importance of networking in the</w:t>
      </w:r>
      <w:r>
        <w:t xml:space="preserve"> </w:t>
      </w:r>
      <w:r>
        <w:rPr>
          <w:bCs/>
          <w:b/>
        </w:rPr>
        <w:t xml:space="preserve">Amsterdam</w:t>
      </w:r>
      <w:r>
        <w:t xml:space="preserve"> </w:t>
      </w:r>
      <w:r>
        <w:t xml:space="preserve">tech scene. For a designer entering the market, this text provides critical context on how to navigate the professional environment beyond just the technical aspects of web design.</w:t>
      </w:r>
    </w:p>
    <w:p>
      <w:pPr>
        <w:pStyle w:val="BodyText"/>
      </w:pPr>
      <w:r>
        <w:t xml:space="preserve">W3C. (2023).</w:t>
      </w:r>
      <w:r>
        <w:t xml:space="preserve"> </w:t>
      </w:r>
      <w:r>
        <w:rPr>
          <w:iCs/>
          <w:i/>
        </w:rPr>
        <w:t xml:space="preserve">Web Content Accessibility Guidelines (WCAG) 2.2.</w:t>
      </w:r>
      <w:r>
        <w:t xml:space="preserve"> </w:t>
      </w:r>
      <w:r>
        <w:t xml:space="preserve">W3C Recommendation.</w:t>
      </w:r>
    </w:p>
    <w:p>
      <w:pPr>
        <w:pStyle w:val="BodyText"/>
      </w:pPr>
      <w:r>
        <w:t xml:space="preserve">While a global standard, WCAG 2.2 is the technical benchmark referenced by Dutch law for</w:t>
      </w:r>
      <w:r>
        <w:t xml:space="preserve"> </w:t>
      </w:r>
      <w:r>
        <w:rPr>
          <w:bCs/>
          <w:b/>
        </w:rPr>
        <w:t xml:space="preserve">Web Designers</w:t>
      </w:r>
      <w:r>
        <w:t xml:space="preserve">. This document provides the detailed criteria for accessibility that designers in</w:t>
      </w:r>
      <w:r>
        <w:t xml:space="preserve"> </w:t>
      </w:r>
      <w:r>
        <w:rPr>
          <w:bCs/>
          <w:b/>
        </w:rPr>
        <w:t xml:space="preserve">Amsterdam</w:t>
      </w:r>
      <w:r>
        <w:t xml:space="preserve"> </w:t>
      </w:r>
      <w:r>
        <w:t xml:space="preserve">must implement to meet the requirements of the European Web Accessibility Directive. It covers specific issues such as keyboard navigation, screen reader compatibility, and color contrast, which are critical for serving the diverse population of the</w:t>
      </w:r>
      <w:r>
        <w:t xml:space="preserve"> </w:t>
      </w:r>
      <w:r>
        <w:rPr>
          <w:bCs/>
          <w:b/>
        </w:rPr>
        <w:t xml:space="preserve">Netherlands</w:t>
      </w:r>
      <w:r>
        <w:t xml:space="preserve">.</w:t>
      </w:r>
    </w:p>
    <w:p>
      <w:pPr>
        <w:pStyle w:val="BodyText"/>
      </w:pPr>
      <w:r>
        <w:t xml:space="preserve">Amsterdam Economic Board. (2022).</w:t>
      </w:r>
      <w:r>
        <w:t xml:space="preserve"> </w:t>
      </w:r>
      <w:r>
        <w:rPr>
          <w:iCs/>
          <w:i/>
        </w:rPr>
        <w:t xml:space="preserve">Digital Amsterdam: The Ecosystem for Tech and Design.</w:t>
      </w:r>
      <w:r>
        <w:t xml:space="preserve"> </w:t>
      </w:r>
      <w:r>
        <w:t xml:space="preserve">Amsterdam: AEB.</w:t>
      </w:r>
    </w:p>
    <w:p>
      <w:pPr>
        <w:pStyle w:val="BodyText"/>
      </w:pPr>
      <w:r>
        <w:t xml:space="preserve">This report outlines the economic landscape for digital professionals in</w:t>
      </w:r>
      <w:r>
        <w:t xml:space="preserve"> </w:t>
      </w:r>
      <w:r>
        <w:rPr>
          <w:bCs/>
          <w:b/>
        </w:rPr>
        <w:t xml:space="preserve">Amsterdam</w:t>
      </w:r>
      <w:r>
        <w:t xml:space="preserve">. It identifies key sectors where</w:t>
      </w:r>
      <w:r>
        <w:t xml:space="preserve"> </w:t>
      </w:r>
      <w:r>
        <w:rPr>
          <w:bCs/>
          <w:b/>
        </w:rPr>
        <w:t xml:space="preserve">Web Designers</w:t>
      </w:r>
      <w:r>
        <w:t xml:space="preserve"> </w:t>
      </w:r>
      <w:r>
        <w:t xml:space="preserve">are in high demand, including logistics, finance, and creative industries. The document highlights the city's commitment to sustainability, suggesting that eco-friendly web design practices (such as reducing carbon footprints through efficient coding) are becoming a competitive advantage for designers in the</w:t>
      </w:r>
      <w:r>
        <w:t xml:space="preserve"> </w:t>
      </w:r>
      <w:r>
        <w:rPr>
          <w:bCs/>
          <w:b/>
        </w:rPr>
        <w:t xml:space="preserve">Netherlands</w:t>
      </w:r>
      <w:r>
        <w:t xml:space="preserve">.</w:t>
      </w:r>
    </w:p>
    <w:p>
      <w:pPr>
        <w:pStyle w:val="BodyText"/>
      </w:pPr>
      <w:r>
        <w:t xml:space="preserve">© 2023 Annotated Bibliography on Web Design in Amsterdam.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Amsterdam, Netherlands</dc:title>
  <dc:creator/>
  <dc:language>en</dc:language>
  <cp:keywords/>
  <dcterms:created xsi:type="dcterms:W3CDTF">2026-08-08T10:14:34Z</dcterms:created>
  <dcterms:modified xsi:type="dcterms:W3CDTF">2026-08-08T10:14:34Z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