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Wellington,</w:t>
      </w:r>
      <w:r>
        <w:t xml:space="preserve"> </w:t>
      </w:r>
      <w:r>
        <w:t xml:space="preserve">New</w:t>
      </w:r>
      <w:r>
        <w:t xml:space="preserve"> </w:t>
      </w:r>
      <w:r>
        <w:t xml:space="preserve">Zealand</w:t>
      </w:r>
    </w:p>
    <w:bookmarkStart w:id="25" w:name="X10bd16db1faf74e646f814d07d3071d0cc48512"/>
    <w:p>
      <w:pPr>
        <w:pStyle w:val="Heading1"/>
      </w:pPr>
      <w:r>
        <w:t xml:space="preserve">Annotated Bibliography: The Role of the Web Designer in Wellington, New Zealand</w:t>
      </w:r>
    </w:p>
    <w:p>
      <w:pPr>
        <w:pStyle w:val="FirstParagraph"/>
      </w:pPr>
      <w:r>
        <w:t xml:space="preserve">This annotated bibliography explores the multifaceted role of the web designer within the specific context of Wellington, New Zealand. As the nation's capital and a burgeoning tech hub often referred to as "Silicon Harbour," Wellington presents a unique landscape for digital professionals. The following sources examine the intersection of technical proficiency, cultural responsiveness, and local market dynamics that define web design in this region.</w:t>
      </w:r>
    </w:p>
    <w:bookmarkStart w:id="20" w:name="Xcdb8a203e99c610ae607c794e63020ef2c34a61"/>
    <w:p>
      <w:pPr>
        <w:pStyle w:val="Heading2"/>
      </w:pPr>
      <w:r>
        <w:t xml:space="preserve">Introduction to the Local Digital Landscape</w:t>
      </w:r>
    </w:p>
    <w:p>
      <w:pPr>
        <w:pStyle w:val="FirstParagraph"/>
      </w:pPr>
      <w:r>
        <w:t xml:space="preserve">DigitalNZ. (2023).</w:t>
      </w:r>
      <w:r>
        <w:t xml:space="preserve"> </w:t>
      </w:r>
      <w:r>
        <w:rPr>
          <w:iCs/>
          <w:i/>
        </w:rPr>
        <w:t xml:space="preserve">The State of Digital in Aotearoa New Zealand: Regional Perspectives</w:t>
      </w:r>
      <w:r>
        <w:t xml:space="preserve">. Digital New Zealand.</w:t>
      </w:r>
    </w:p>
    <w:p>
      <w:pPr>
        <w:pStyle w:val="BodyText"/>
      </w:pPr>
      <w:r>
        <w:t xml:space="preserve">This comprehensive report provides a macro-level view of the digital economy in New Zealand, with specific data points regarding Wellington's high concentration of tech startups and creative agencies. For a web designer operating in Wellington, this source is critical for understanding the competitive environment. It highlights that Wellington businesses prioritize user experience (UX) and mobile responsiveness more aggressively than other regions due to high smartphone penetration rates. The report also underscores the necessity for web designers to align their portfolios with the expectations of local government and iwi (tribal) organizations, which are significant clients in the capital city.</w:t>
      </w:r>
    </w:p>
    <w:p>
      <w:pPr>
        <w:pStyle w:val="BodyText"/>
      </w:pPr>
      <w:r>
        <w:t xml:space="preserve">Startup Wellington. (2022).</w:t>
      </w:r>
      <w:r>
        <w:t xml:space="preserve"> </w:t>
      </w:r>
      <w:r>
        <w:rPr>
          <w:iCs/>
          <w:i/>
        </w:rPr>
        <w:t xml:space="preserve">Tech Talent and Design: Building the Future of Silicon Harbour</w:t>
      </w:r>
      <w:r>
        <w:t xml:space="preserve">. Startup Wellington.</w:t>
      </w:r>
    </w:p>
    <w:p>
      <w:pPr>
        <w:pStyle w:val="BodyText"/>
      </w:pPr>
      <w:r>
        <w:t xml:space="preserve">Focusing specifically on the entrepreneurial ecosystem of Wellington, this publication details the skills gap and demand for specialized web design talent. It argues that the modern web designer in Wellington must transcend traditional graphic design to become a product thinker. The text is particularly relevant for freelancers and agency staff in the city, as it outlines the collaborative workflows required when working with Wellington's dense network of developers and product managers. It emphasizes that success in this market requires agility and a deep understanding of lean startup methodologies.</w:t>
      </w:r>
    </w:p>
    <w:bookmarkEnd w:id="20"/>
    <w:bookmarkStart w:id="21" w:name="cultural-competence-and-bilingual-design"/>
    <w:p>
      <w:pPr>
        <w:pStyle w:val="Heading2"/>
      </w:pPr>
      <w:r>
        <w:t xml:space="preserve">Cultural Competence and Bilingual Design</w:t>
      </w:r>
    </w:p>
    <w:p>
      <w:pPr>
        <w:pStyle w:val="FirstParagraph"/>
      </w:pPr>
      <w:r>
        <w:t xml:space="preserve">Te Taura Whiri i te Reo Māori. (2021).</w:t>
      </w:r>
      <w:r>
        <w:t xml:space="preserve"> </w:t>
      </w:r>
      <w:r>
        <w:rPr>
          <w:iCs/>
          <w:i/>
        </w:rPr>
        <w:t xml:space="preserve">Guidelines for Digital Interface Design in Te Reo Māori</w:t>
      </w:r>
      <w:r>
        <w:t xml:space="preserve">. The Māori Language Commission.</w:t>
      </w:r>
    </w:p>
    <w:p>
      <w:pPr>
        <w:pStyle w:val="BodyText"/>
      </w:pPr>
      <w:r>
        <w:t xml:space="preserve">In New Zealand, and particularly in Wellington where government and cultural institutions are headquartered, cultural competence is non-negotiable. This guide is an essential resource for any web designer aiming to create inclusive digital experiences. It provides technical and aesthetic guidelines for integrating Te Reo Māori into web interfaces, addressing issues such as font rendering, layout constraints for longer translations, and cultural symbolism. Ignoring these guidelines can result in designs that are perceived as culturally insensitive. This source equips designers with the knowledge to create websites that honor the bicultural foundation of New Zealand society.</w:t>
      </w:r>
    </w:p>
    <w:p>
      <w:pPr>
        <w:pStyle w:val="BodyText"/>
      </w:pPr>
      <w:r>
        <w:t xml:space="preserve">Ngāi Tahu. (2020).</w:t>
      </w:r>
      <w:r>
        <w:t xml:space="preserve"> </w:t>
      </w:r>
      <w:r>
        <w:rPr>
          <w:iCs/>
          <w:i/>
        </w:rPr>
        <w:t xml:space="preserve">Digital Storytelling and Indigenous Representation in Web Design</w:t>
      </w:r>
      <w:r>
        <w:t xml:space="preserve">. Ngāi Tahu Trust Board.</w:t>
      </w:r>
    </w:p>
    <w:p>
      <w:pPr>
        <w:pStyle w:val="BodyText"/>
      </w:pPr>
      <w:r>
        <w:t xml:space="preserve">While focused on the South Island, this document offers profound insights applicable to Wellington designers working with Māori clients nationwide. It critiques the colonial aesthetics often found in web design and proposes a framework for "Indigenous futurism" in digital spaces. For a web designer in Wellington, this text serves as a theoretical foundation for moving beyond tokenistic use of Māori patterns. It encourages designers to engage in deeper consultation processes, ensuring that the digital representation of iwi and local history is accurate, respectful, and empowering.</w:t>
      </w:r>
    </w:p>
    <w:bookmarkEnd w:id="21"/>
    <w:bookmarkStart w:id="22" w:name="technical-standards-and-accessibility"/>
    <w:p>
      <w:pPr>
        <w:pStyle w:val="Heading2"/>
      </w:pPr>
      <w:r>
        <w:t xml:space="preserve">Technical Standards and Accessibility</w:t>
      </w:r>
    </w:p>
    <w:p>
      <w:pPr>
        <w:pStyle w:val="FirstParagraph"/>
      </w:pPr>
      <w:r>
        <w:t xml:space="preserve">W3C. (2023).</w:t>
      </w:r>
      <w:r>
        <w:t xml:space="preserve"> </w:t>
      </w:r>
      <w:r>
        <w:rPr>
          <w:iCs/>
          <w:i/>
        </w:rPr>
        <w:t xml:space="preserve">Web Content Accessibility Guidelines (WCAG) 2.2</w:t>
      </w:r>
      <w:r>
        <w:t xml:space="preserve">. World Wide Web Consortium.</w:t>
      </w:r>
    </w:p>
    <w:p>
      <w:pPr>
        <w:pStyle w:val="BodyText"/>
      </w:pPr>
      <w:r>
        <w:t xml:space="preserve">Although a global standard, WCAG 2.2 is of paramount importance in Wellington due to the city's high volume of public sector and educational web projects. New Zealand law increasingly mandates digital accessibility, and Wellington-based designers are often the first to implement these changes for national rollout. This document provides the technical criteria for ensuring websites are usable by people with disabilities. For the Wellington web designer, mastery of these guidelines is not just a technical skill but a legal and ethical requirement, particularly when designing for government departments located in the capital.</w:t>
      </w:r>
    </w:p>
    <w:p>
      <w:pPr>
        <w:pStyle w:val="BodyText"/>
      </w:pPr>
      <w:r>
        <w:t xml:space="preserve">Google Developers. (2023).</w:t>
      </w:r>
      <w:r>
        <w:t xml:space="preserve"> </w:t>
      </w:r>
      <w:r>
        <w:rPr>
          <w:iCs/>
          <w:i/>
        </w:rPr>
        <w:t xml:space="preserve">Core Web Vitals and Performance Best Practices</w:t>
      </w:r>
      <w:r>
        <w:t xml:space="preserve">. Google.</w:t>
      </w:r>
    </w:p>
    <w:p>
      <w:pPr>
        <w:pStyle w:val="BodyText"/>
      </w:pPr>
      <w:r>
        <w:t xml:space="preserve">This technical resource is vital for web designers in Wellington who must contend with varying internet infrastructure across New Zealand. While Wellington enjoys robust connectivity, designers must ensure their creations perform well for users in more remote parts of the country. The document outlines metrics for loading performance, interactivity, and visual stability. For a Wellington-based agency serving national clients, optimizing for Core Web Vitals is essential for maintaining search engine rankings and user retention. It bridges the gap between aesthetic design and technical performance.</w:t>
      </w:r>
    </w:p>
    <w:bookmarkEnd w:id="22"/>
    <w:bookmarkStart w:id="23" w:name="professional-development-and-ethics"/>
    <w:p>
      <w:pPr>
        <w:pStyle w:val="Heading2"/>
      </w:pPr>
      <w:r>
        <w:t xml:space="preserve">Professional Development and Ethics</w:t>
      </w:r>
    </w:p>
    <w:p>
      <w:pPr>
        <w:pStyle w:val="FirstParagraph"/>
      </w:pPr>
      <w:r>
        <w:t xml:space="preserve">NZ Institute of Professional Engineers (IPENZ). (2022).</w:t>
      </w:r>
      <w:r>
        <w:t xml:space="preserve"> </w:t>
      </w:r>
      <w:r>
        <w:rPr>
          <w:iCs/>
          <w:i/>
        </w:rPr>
        <w:t xml:space="preserve">Ethics in Digital Design and Engineering</w:t>
      </w:r>
      <w:r>
        <w:t xml:space="preserve">. IPENZ.</w:t>
      </w:r>
    </w:p>
    <w:p>
      <w:pPr>
        <w:pStyle w:val="BodyText"/>
      </w:pPr>
      <w:r>
        <w:t xml:space="preserve">As the line between web design and software engineering blurs, this code of ethics is increasingly relevant for designers in Wellington's tech sector. It addresses issues such as data privacy, algorithmic bias, and the environmental impact of digital design. Given Wellington's reputation as a progressive and environmentally conscious city, designers are expected to adhere to high ethical standards. This source guides professionals in making decisions that protect user data and minimize the carbon footprint of web projects, aligning with the values of many Wellington-based organizations.</w:t>
      </w:r>
    </w:p>
    <w:p>
      <w:pPr>
        <w:pStyle w:val="BodyText"/>
      </w:pPr>
      <w:r>
        <w:t xml:space="preserve">Creative New Zealand. (2023).</w:t>
      </w:r>
      <w:r>
        <w:t xml:space="preserve"> </w:t>
      </w:r>
      <w:r>
        <w:rPr>
          <w:iCs/>
          <w:i/>
        </w:rPr>
        <w:t xml:space="preserve">Funding and Opportunities for Digital Creatives</w:t>
      </w:r>
      <w:r>
        <w:t xml:space="preserve">. Creative New Zealand.</w:t>
      </w:r>
    </w:p>
    <w:p>
      <w:pPr>
        <w:pStyle w:val="BodyText"/>
      </w:pPr>
      <w:r>
        <w:t xml:space="preserve">This resource outlines the funding landscape for creative projects in New Zealand, with a focus on digital innovation. For web designers in Wellington who wish to engage in experimental or community-focused projects, this document is indispensable. It highlights opportunities for collaboration between designers, artists, and technologists. It also provides insight into the types of projects that are valued by the state, helping designers tailor their proposals and portfolios to secure support for innovative web design initiatives that contribute to the cultural life of Wellington and New Zealand.</w:t>
      </w:r>
    </w:p>
    <w:bookmarkEnd w:id="23"/>
    <w:bookmarkStart w:id="24" w:name="conclusion"/>
    <w:p>
      <w:pPr>
        <w:pStyle w:val="Heading2"/>
      </w:pPr>
      <w:r>
        <w:t xml:space="preserve">Conclusion</w:t>
      </w:r>
    </w:p>
    <w:p>
      <w:pPr>
        <w:pStyle w:val="FirstParagraph"/>
      </w:pPr>
      <w:r>
        <w:t xml:space="preserve">The role of a web designer in Wellington, New Zealand, is defined by a unique convergence of technical excellence, cultural responsibility, and ethical practice. The sources reviewed in this annotated bibliography demonstrate that success in this market requires more than just proficiency in design software. It demands a deep understanding of the local digital economy, the ability to create bicultural and accessible interfaces, and a commitment to high ethical standards. By engaging with these resources, web designers can position themselves as valuable contributors to Wellington's vibrant and evolving digital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Wellington, New Zealand</dc:title>
  <dc:creator/>
  <dc:language>en</dc:language>
  <cp:keywords/>
  <dcterms:created xsi:type="dcterms:W3CDTF">2026-08-08T05:57:21Z</dcterms:created>
  <dcterms:modified xsi:type="dcterms:W3CDTF">2026-08-08T05:57:21Z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