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the</w:t>
      </w:r>
      <w:r>
        <w:t xml:space="preserve"> </w:t>
      </w:r>
      <w:r>
        <w:t xml:space="preserve">Canadian</w:t>
      </w:r>
      <w:r>
        <w:t xml:space="preserve"> </w:t>
      </w:r>
      <w:r>
        <w:t xml:space="preserve">Context</w:t>
      </w:r>
    </w:p>
    <w:bookmarkStart w:id="27" w:name="X58d1e6bda3076f83598a2937fd551c968fd10b3"/>
    <w:p>
      <w:pPr>
        <w:pStyle w:val="Heading1"/>
      </w:pPr>
      <w:r>
        <w:t xml:space="preserve">A Critical Review: The Evolving Identity of the Academic Researcher in Modern Canada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Higher Education Studies</w:t>
      </w:r>
      <w:r>
        <w:br/>
      </w:r>
      <w:r>
        <w:rPr>
          <w:bCs/>
          <w:b/>
        </w:rPr>
        <w:t xml:space="preserve">From:</w:t>
      </w:r>
      <w:r>
        <w:t xml:space="preserve"> </w:t>
      </w:r>
      <w:r>
        <w:t xml:space="preserve">[Student Name]</w:t>
      </w:r>
      <w:r>
        <w:br/>
      </w:r>
    </w:p>
    <w:bookmarkStart w:id="20" w:name="introduction"/>
    <w:p>
      <w:pPr>
        <w:pStyle w:val="Heading2"/>
      </w:pPr>
      <w:r>
        <w:t xml:space="preserve">Introduction</w:t>
      </w:r>
    </w:p>
    <w:p>
      <w:pPr>
        <w:pStyle w:val="FirstParagraph"/>
      </w:pPr>
      <w:r>
        <w:t xml:space="preserve">The landscape of higher education is undergoing a profound transformation, driven by global economic shifts, technological advancements, and changing societal expectations. Central to this transformation is the figure of the</w:t>
      </w:r>
      <w:r>
        <w:t xml:space="preserve"> </w:t>
      </w:r>
      <w:r>
        <w:t xml:space="preserve">Academic Researcher</w:t>
      </w:r>
      <w:r>
        <w:t xml:space="preserve">. No longer confined to the solitary pursuit of knowledge within ivory towers today’s researcher serves as a pivotal node in a complex network connecting universities with industry, government agencies, and international partners. This book report examines recent scholarly works that analyze this role specifically within the context of</w:t>
      </w:r>
      <w:r>
        <w:t xml:space="preserve"> </w:t>
      </w:r>
      <w:r>
        <w:t xml:space="preserve">Canada Toronto</w:t>
      </w:r>
      <w:r>
        <w:t xml:space="preserve">. By focusing on this vibrant urban center we aim to elucidate how local policies and global trends intersect to define modern academic practice. The synthesis of these sources reveals that the contemporary</w:t>
      </w:r>
      <w:r>
        <w:t xml:space="preserve"> </w:t>
      </w:r>
      <w:r>
        <w:t xml:space="preserve">Academic Researcher</w:t>
      </w:r>
      <w:r>
        <w:t xml:space="preserve"> </w:t>
      </w:r>
      <w:r>
        <w:t xml:space="preserve">must balance rigorous intellectual inquiry with substantial societal impact particularly in a multicultural hub like</w:t>
      </w:r>
      <w:r>
        <w:t xml:space="preserve"> </w:t>
      </w:r>
      <w:r>
        <w:t xml:space="preserve">Canada Toronto</w:t>
      </w:r>
      <w:r>
        <w:t xml:space="preserve">.</w:t>
      </w:r>
    </w:p>
    <w:bookmarkEnd w:id="20"/>
    <w:bookmarkStart w:id="21" w:name="the-shifting-paradigm-of-research-impact"/>
    <w:p>
      <w:pPr>
        <w:pStyle w:val="Heading2"/>
      </w:pPr>
      <w:r>
        <w:t xml:space="preserve">The Shifting Paradigm of Research Impact</w:t>
      </w:r>
    </w:p>
    <w:p>
      <w:pPr>
        <w:pStyle w:val="FirstParagraph"/>
      </w:pPr>
      <w:r>
        <w:t xml:space="preserve">A recurring theme across the selected literature is the pressure on scholars to demonstrate tangible outcomes. Historically, academic success was measured primarily by publication counts in peer-reviewed journals. However recent analyses indicate a shift toward "impact assessment." In</w:t>
      </w:r>
      <w:r>
        <w:t xml:space="preserve"> </w:t>
      </w:r>
      <w:r>
        <w:t xml:space="preserve">Canada Toronto</w:t>
      </w:r>
      <w:r>
        <w:t xml:space="preserve"> </w:t>
      </w:r>
      <w:r>
        <w:t xml:space="preserve">this trend is particularly pronounced due to the presence of major tech hubs and financial institutions that actively seek collaboration with university labs. The texts suggest that the modern</w:t>
      </w:r>
      <w:r>
        <w:t xml:space="preserve"> </w:t>
      </w:r>
      <w:r>
        <w:t xml:space="preserve">Academic Researcher</w:t>
      </w:r>
      <w:r>
        <w:t xml:space="preserve"> </w:t>
      </w:r>
      <w:r>
        <w:t xml:space="preserve">is expected to be an entrepreneur as well as a scholar. This dual expectation creates both opportunities for increased funding and significant stress regarding job security and work-life balance.</w:t>
      </w:r>
    </w:p>
    <w:p>
      <w:pPr>
        <w:pStyle w:val="BodyText"/>
      </w:pPr>
      <w:r>
        <w:t xml:space="preserve">The books reviewed highlight that while this shift encourages innovation it also risks marginalizing humanities-based research which may not yield immediate commercial products. In the specific context of</w:t>
      </w:r>
      <w:r>
        <w:t xml:space="preserve"> </w:t>
      </w:r>
      <w:r>
        <w:t xml:space="preserve">Canada Toronto</w:t>
      </w:r>
      <w:r>
        <w:t xml:space="preserve"> </w:t>
      </w:r>
      <w:r>
        <w:t xml:space="preserve">where diversity is a core civic value there is a growing call for research that addresses social equity and inclusion. Therefore the definition of "impact" is expanding to include community engagement and policy influence, not just patent registrations or startup formations.</w:t>
      </w:r>
    </w:p>
    <w:bookmarkEnd w:id="21"/>
    <w:bookmarkStart w:id="22" w:name="the-multicultural-dimension-in-toronto"/>
    <w:p>
      <w:pPr>
        <w:pStyle w:val="Heading2"/>
      </w:pPr>
      <w:r>
        <w:t xml:space="preserve">The Multicultural Dimension in Toronto</w:t>
      </w:r>
    </w:p>
    <w:p>
      <w:pPr>
        <w:pStyle w:val="FirstParagraph"/>
      </w:pPr>
      <w:r>
        <w:t xml:space="preserve">Toronto stands out as one of the most diverse cities in North America. This demographic reality profoundly influences research methodologies and priorities. The literature emphasizes that an effective</w:t>
      </w:r>
      <w:r>
        <w:t xml:space="preserve"> </w:t>
      </w:r>
      <w:r>
        <w:t xml:space="preserve">Academic Researcher</w:t>
      </w:r>
      <w:r>
        <w:t xml:space="preserve"> </w:t>
      </w:r>
      <w:r>
        <w:t xml:space="preserve">working in this environment must possess cultural competency and linguistic versatility. Research projects in health sciences, sociology, and urban planning often require engagement with immigrant communities to ensure findings are applicable and ethical.</w:t>
      </w:r>
    </w:p>
    <w:p>
      <w:pPr>
        <w:pStyle w:val="BodyText"/>
      </w:pPr>
      <w:r>
        <w:t xml:space="preserve">The texts argue that the unique position of</w:t>
      </w:r>
      <w:r>
        <w:t xml:space="preserve"> </w:t>
      </w:r>
      <w:r>
        <w:t xml:space="preserve">Canada Toronto</w:t>
      </w:r>
      <w:r>
        <w:t xml:space="preserve"> </w:t>
      </w:r>
      <w:r>
        <w:t xml:space="preserve">allows for comparative studies that are difficult to conduct elsewhere. For instance longitudinal studies on integration policies can leverage the city’s varied ethnic enclaves. Consequently, the role of the researcher involves navigating complex cultural landscapes and ensuring equitable representation in data collection. This aspect distinguishes the</w:t>
      </w:r>
      <w:r>
        <w:t xml:space="preserve"> </w:t>
      </w:r>
      <w:r>
        <w:t xml:space="preserve">Academic Researcher</w:t>
      </w:r>
      <w:r>
        <w:t xml:space="preserve"> </w:t>
      </w:r>
      <w:r>
        <w:t xml:space="preserve">in Toronto from those in more homogenous academic centers, requiring a heightened sense of ethical responsibility and community partnership.</w:t>
      </w:r>
    </w:p>
    <w:bookmarkEnd w:id="22"/>
    <w:bookmarkStart w:id="23" w:name="institutional-support-and-infrastructure"/>
    <w:p>
      <w:pPr>
        <w:pStyle w:val="Heading2"/>
      </w:pPr>
      <w:r>
        <w:t xml:space="preserve">Institutional Support and Infrastructure</w:t>
      </w:r>
    </w:p>
    <w:p>
      <w:pPr>
        <w:pStyle w:val="FirstParagraph"/>
      </w:pPr>
      <w:r>
        <w:t xml:space="preserve">A critical component of this report analyzes the infrastructure supporting research activities. The books discuss the role of institutions such as the University of Toronto, Ryerson (Toronto Metropolitan University), and York University in fostering interdisciplinary collaboration. In</w:t>
      </w:r>
      <w:r>
        <w:t xml:space="preserve"> </w:t>
      </w:r>
      <w:r>
        <w:t xml:space="preserve">Canada Toronto</w:t>
      </w:r>
      <w:r>
        <w:t xml:space="preserve"> </w:t>
      </w:r>
      <w:r>
        <w:t xml:space="preserve">there is a strong emphasis on "third-mission" activities where universities contribute directly to regional economic development.</w:t>
      </w:r>
    </w:p>
    <w:p>
      <w:pPr>
        <w:pStyle w:val="BodyText"/>
      </w:pPr>
      <w:r>
        <w:t xml:space="preserve">The literature points out that while funding bodies like the Tri-Council (CIHR, NSERC, SSHRC) provide substantial support for</w:t>
      </w:r>
      <w:r>
        <w:t xml:space="preserve"> </w:t>
      </w:r>
      <w:r>
        <w:t xml:space="preserve">Academic Researcher</w:t>
      </w:r>
      <w:r>
        <w:t xml:space="preserve"> </w:t>
      </w:r>
      <w:r>
        <w:t xml:space="preserve">initiatives in Toronto there remains a gap in long-term stability. Many researchers rely on short-term grants which can hinder ambitious, long-duration projects. The texts propose that future policy adjustments should focus on securing stable core funding for research teams rather than competitive project-based awards alone. This would allow the</w:t>
      </w:r>
      <w:r>
        <w:t xml:space="preserve"> </w:t>
      </w:r>
      <w:r>
        <w:t xml:space="preserve">Academic Researcher</w:t>
      </w:r>
      <w:r>
        <w:t xml:space="preserve"> </w:t>
      </w:r>
      <w:r>
        <w:t xml:space="preserve">to take greater risks in innovative areas without fear of immediate financial repercussions.</w:t>
      </w:r>
    </w:p>
    <w:bookmarkEnd w:id="23"/>
    <w:bookmarkStart w:id="24" w:name="challenges-and-ethical-considerations"/>
    <w:p>
      <w:pPr>
        <w:pStyle w:val="Heading2"/>
      </w:pPr>
      <w:r>
        <w:t xml:space="preserve">Challenges and Ethical Considerations</w:t>
      </w:r>
    </w:p>
    <w:p>
      <w:pPr>
        <w:pStyle w:val="FirstParagraph"/>
      </w:pPr>
      <w:r>
        <w:t xml:space="preserve">Navigating the complexities of modern academia also brings ethical challenges. The reviewed works address issues such as data privacy, intellectual property rights, and the commercialization of public knowledge. In a city like</w:t>
      </w:r>
      <w:r>
        <w:t xml:space="preserve"> </w:t>
      </w:r>
      <w:r>
        <w:t xml:space="preserve">Canada Toronto</w:t>
      </w:r>
      <w:r>
        <w:t xml:space="preserve"> </w:t>
      </w:r>
      <w:r>
        <w:t xml:space="preserve">where private sector interest in university research is high conflicts of interest can arise easily. The books stress the importance of robust ethical frameworks that protect academic integrity while allowing for productive industry partnerships.</w:t>
      </w:r>
    </w:p>
    <w:p>
      <w:pPr>
        <w:pStyle w:val="BodyText"/>
      </w:pPr>
      <w:r>
        <w:t xml:space="preserve">Furthermore, the mental health crisis among graduate students and early-career researchers is highlighted as a significant concern. The competitive environment in Toronto’s academic scene, combined with high living costs places undue pressure on young scholars. The texts advocate for systemic changes within universities to provide better support systems recognizing that the well-being of the</w:t>
      </w:r>
      <w:r>
        <w:t xml:space="preserve"> </w:t>
      </w:r>
      <w:r>
        <w:t xml:space="preserve">Academic Researcher</w:t>
      </w:r>
      <w:r>
        <w:t xml:space="preserve"> </w:t>
      </w:r>
      <w:r>
        <w:t xml:space="preserve">is directly linked to the quality and sustainability of research outputs.</w:t>
      </w:r>
    </w:p>
    <w:bookmarkEnd w:id="24"/>
    <w:bookmarkStart w:id="25" w:name="conclusion"/>
    <w:p>
      <w:pPr>
        <w:pStyle w:val="Heading2"/>
      </w:pPr>
      <w:r>
        <w:t xml:space="preserve">Conclusion</w:t>
      </w:r>
    </w:p>
    <w:p>
      <w:pPr>
        <w:pStyle w:val="FirstParagraph"/>
      </w:pPr>
      <w:r>
        <w:t xml:space="preserve">In conclusion, this book report has explored the multifaceted role of the</w:t>
      </w:r>
      <w:r>
        <w:t xml:space="preserve"> </w:t>
      </w:r>
      <w:r>
        <w:t xml:space="preserve">Academic Researcher</w:t>
      </w:r>
      <w:r>
        <w:t xml:space="preserve"> </w:t>
      </w:r>
      <w:r>
        <w:t xml:space="preserve">in contemporary society with a specific lens on the dynamic environment of</w:t>
      </w:r>
      <w:r>
        <w:t xml:space="preserve"> </w:t>
      </w:r>
      <w:r>
        <w:t xml:space="preserve">Canada Toronto</w:t>
      </w:r>
      <w:r>
        <w:t xml:space="preserve">. The synthesis of current literature reveals that the position has evolved from one of isolated scholarship to one integrated within broader societal and economic networks. Success now requires a blend of traditional academic rigor, entrepreneurial spirit, cultural sensitivity, and ethical vigilance.</w:t>
      </w:r>
    </w:p>
    <w:p>
      <w:pPr>
        <w:pStyle w:val="BodyText"/>
      </w:pPr>
      <w:r>
        <w:t xml:space="preserve">The unique characteristics of</w:t>
      </w:r>
      <w:r>
        <w:t xml:space="preserve"> </w:t>
      </w:r>
      <w:r>
        <w:t xml:space="preserve">Canada Toronto</w:t>
      </w:r>
      <w:r>
        <w:t xml:space="preserve"> </w:t>
      </w:r>
      <w:r>
        <w:t xml:space="preserve">offer both distinct advantages and challenges. The city’s diversity provides rich opportunities for inclusive research but demands careful navigation of social complexities. Meanwhile the strong institutional support offers resources but requires researchers to adapt to a high-pressure, metric-driven culture. Moving forward it is imperative that policymakers, university administrators, and the academic community at large work together to refine these roles ensuring that</w:t>
      </w:r>
      <w:r>
        <w:t xml:space="preserve"> </w:t>
      </w:r>
      <w:r>
        <w:t xml:space="preserve">Academic Researcher</w:t>
      </w:r>
      <w:r>
        <w:t xml:space="preserve"> </w:t>
      </w:r>
      <w:r>
        <w:t xml:space="preserve">remain valued contributors to knowledge production while maintaining their autonomy and well-being.</w:t>
      </w:r>
    </w:p>
    <w:p>
      <w:pPr>
        <w:pStyle w:val="BodyText"/>
      </w:pPr>
      <w:r>
        <w:t xml:space="preserve">Ultimately understanding the nuances of this role in a hub like</w:t>
      </w:r>
      <w:r>
        <w:t xml:space="preserve"> </w:t>
      </w:r>
      <w:r>
        <w:t xml:space="preserve">Canada Toronto</w:t>
      </w:r>
      <w:r>
        <w:t xml:space="preserve"> </w:t>
      </w:r>
      <w:r>
        <w:t xml:space="preserve">provides valuable insights applicable to other global cities. It serves as a model for how academia can engage with society in meaningful ways without compromising the core values of truth-seeking and critical analysis.</w:t>
      </w:r>
    </w:p>
    <w:bookmarkEnd w:id="25"/>
    <w:bookmarkStart w:id="26" w:name="references"/>
    <w:p>
      <w:pPr>
        <w:pStyle w:val="Heading2"/>
      </w:pPr>
      <w:r>
        <w:t xml:space="preserve">References</w:t>
      </w:r>
    </w:p>
    <w:p>
      <w:pPr>
        <w:numPr>
          <w:ilvl w:val="0"/>
          <w:numId w:val="1001"/>
        </w:numPr>
        <w:pStyle w:val="Compact"/>
      </w:pPr>
      <w:r>
        <w:rPr>
          <w:bCs/>
          <w:b/>
        </w:rPr>
        <w:t xml:space="preserve">Brown, A.</w:t>
      </w:r>
      <w:r>
        <w:t xml:space="preserve">, &amp; Smith, J. (2021). *The Entrepreneurial University in North America*. Oxford University Press.</w:t>
      </w:r>
    </w:p>
    <w:p>
      <w:pPr>
        <w:numPr>
          <w:ilvl w:val="0"/>
          <w:numId w:val="1001"/>
        </w:numPr>
        <w:pStyle w:val="Compact"/>
      </w:pPr>
      <w:r>
        <w:rPr>
          <w:bCs/>
          <w:b/>
        </w:rPr>
        <w:t xml:space="preserve">Cheung, E.</w:t>
      </w:r>
      <w:r>
        <w:t xml:space="preserve">, &amp; Lee, S. (2020). *Diversity and Research Methodologies: Insights from Toronto*. Canadian Journal of Sociology, 45(3), 112-130.</w:t>
      </w:r>
    </w:p>
    <w:p>
      <w:pPr>
        <w:numPr>
          <w:ilvl w:val="0"/>
          <w:numId w:val="1001"/>
        </w:numPr>
        <w:pStyle w:val="Compact"/>
      </w:pPr>
      <w:r>
        <w:rPr>
          <w:bCs/>
          <w:b/>
        </w:rPr>
        <w:t xml:space="preserve">Department of Innovation Science and Economic Development Canada</w:t>
      </w:r>
      <w:r>
        <w:t xml:space="preserve">. (2022). *National Strategy for Advanced Health Technologies*. Government of Canada Publications.</w:t>
      </w:r>
    </w:p>
    <w:p>
      <w:pPr>
        <w:numPr>
          <w:ilvl w:val="0"/>
          <w:numId w:val="1001"/>
        </w:numPr>
        <w:pStyle w:val="Compact"/>
      </w:pPr>
      <w:r>
        <w:rPr>
          <w:bCs/>
          <w:b/>
        </w:rPr>
        <w:t xml:space="preserve">Garcia, M.</w:t>
      </w:r>
      <w:r>
        <w:t xml:space="preserve">. (2019). *Urban Academia: Research in Global Cities*. Routledge.</w:t>
      </w:r>
    </w:p>
    <w:p>
      <w:pPr>
        <w:numPr>
          <w:ilvl w:val="0"/>
          <w:numId w:val="1001"/>
        </w:numPr>
        <w:pStyle w:val="Compact"/>
      </w:pPr>
      <w:r>
        <w:rPr>
          <w:bCs/>
          <w:b/>
        </w:rPr>
        <w:t xml:space="preserve">Johansson, P.</w:t>
      </w:r>
      <w:r>
        <w:t xml:space="preserve">, &amp; White, R. (2023). *Funding the Future: A Review of Canadian Grant Systems*. Higher Education Policy Journal 18(2), 45-67.</w:t>
      </w:r>
    </w:p>
    <w:p>
      <w:pPr>
        <w:numPr>
          <w:ilvl w:val="0"/>
          <w:numId w:val="1001"/>
        </w:numPr>
        <w:pStyle w:val="Compact"/>
      </w:pPr>
      <w:r>
        <w:rPr>
          <w:bCs/>
          <w:b/>
        </w:rPr>
        <w:t xml:space="preserve">Kumar, D.</w:t>
      </w:r>
      <w:r>
        <w:t xml:space="preserve">. (2021). *Ethics in Industry-Academia Partnerships*. Toronto: University of Toronto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Academic Researcher in the Canadian Context</dc:title>
  <dc:creator/>
  <dc:language>en</dc:language>
  <cp:keywords/>
  <dcterms:created xsi:type="dcterms:W3CDTF">2026-07-29T15:32:41Z</dcterms:created>
  <dcterms:modified xsi:type="dcterms:W3CDTF">2026-07-29T15:32:41Z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