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Munich</w:t>
      </w:r>
    </w:p>
    <w:bookmarkStart w:id="30" w:name="X6e6f2e547b38a493ce6cbfa310e6882a26395b2"/>
    <w:p>
      <w:pPr>
        <w:pStyle w:val="Heading1"/>
      </w:pPr>
      <w:r>
        <w:t xml:space="preserve">The Academic Researcher in a Global Hub: A Critical Analysis of Institutional Dynamics and Professional Identity in Germany, Munich</w:t>
      </w:r>
    </w:p>
    <w:p>
      <w:pPr>
        <w:pStyle w:val="FirstParagraph"/>
      </w:pPr>
      <w:r>
        <w:rPr>
          <w:bCs/>
          <w:b/>
        </w:rPr>
        <w:t xml:space="preserve">Date:</w:t>
      </w:r>
      <w:r>
        <w:t xml:space="preserve"> </w:t>
      </w:r>
      <w:r>
        <w:t xml:space="preserve">October 26, 2023</w:t>
      </w:r>
    </w:p>
    <w:p>
      <w:pPr>
        <w:pStyle w:val="BodyText"/>
      </w:pPr>
      <w:r>
        <w:rPr>
          <w:bCs/>
          <w:b/>
        </w:rPr>
        <w:t xml:space="preserve">Sector Focus:</w:t>
      </w:r>
      <w:r>
        <w:t xml:space="preserve"> </w:t>
      </w:r>
      <w:r>
        <w:t xml:space="preserve">Higher Education and Scientific Research</w:t>
      </w:r>
    </w:p>
    <w:p>
      <w:pPr>
        <w:pStyle w:val="BodyText"/>
      </w:pPr>
      <w:r>
        <w:rPr>
          <w:bCs/>
          <w:b/>
        </w:rPr>
        <w:t xml:space="preserve">D地域 Location Profile:</w:t>
      </w:r>
      <w:r>
        <w:t xml:space="preserve"> </w:t>
      </w:r>
      <w:r>
        <w:t xml:space="preserve">Germany, Munich (München)</w:t>
      </w:r>
    </w:p>
    <w:bookmarkStart w:id="20" w:name="i.-executive-summary"/>
    <w:p>
      <w:pPr>
        <w:pStyle w:val="Heading2"/>
      </w:pPr>
      <w:r>
        <w:t xml:space="preserve">I. Executive Summary</w:t>
      </w:r>
    </w:p>
    <w:p>
      <w:pPr>
        <w:pStyle w:val="FirstParagraph"/>
      </w:pPr>
      <w:r>
        <w:t xml:space="preserve">This Book Report serves as a comprehensive analysis of the evolving role, challenges, and strategic importance of the</w:t>
      </w:r>
      <w:r>
        <w:t xml:space="preserve"> </w:t>
      </w:r>
      <w:r>
        <w:rPr>
          <w:bCs/>
          <w:b/>
        </w:rPr>
        <w:t xml:space="preserve">Academic Researcher</w:t>
      </w:r>
      <w:r>
        <w:t xml:space="preserve">. While this report synthesizes general literature on higher education trends, it specifically contextualizes these findings within the unique socio-economic and academic landscape of Munich in southern</w:t>
      </w:r>
      <w:r>
        <w:t xml:space="preserve"> </w:t>
      </w:r>
      <w:r>
        <w:rPr>
          <w:bCs/>
          <w:b/>
        </w:rPr>
        <w:t xml:space="preserve">Germany</w:t>
      </w:r>
      <w:r>
        <w:t xml:space="preserve">. As Munich emerges as one of Europe’s premier hubs for science, technology, and innovation—often referred to as "Silicon Bavaria"—the position of the researcher is no longer merely an intellectual pursuit but a critical economic driver. This document explores how the intersection of rigorous academic standards in</w:t>
      </w:r>
      <w:r>
        <w:t xml:space="preserve"> </w:t>
      </w:r>
      <w:r>
        <w:rPr>
          <w:bCs/>
          <w:b/>
        </w:rPr>
        <w:t xml:space="preserve">Germany</w:t>
      </w:r>
      <w:r>
        <w:t xml:space="preserve">, the competitive ecosystem of</w:t>
      </w:r>
      <w:r>
        <w:t xml:space="preserve"> </w:t>
      </w:r>
      <w:r>
        <w:rPr>
          <w:bCs/>
          <w:b/>
        </w:rPr>
        <w:t xml:space="preserve">Munich</w:t>
      </w:r>
      <w:r>
        <w:t xml:space="preserve">, and the global mobility of talent defines modern research.</w:t>
      </w:r>
    </w:p>
    <w:bookmarkEnd w:id="20"/>
    <w:bookmarkStart w:id="21" w:name="X4d92e42c3d6edd25b3ff6357457833f39a47831"/>
    <w:p>
      <w:pPr>
        <w:pStyle w:val="Heading2"/>
      </w:pPr>
      <w:r>
        <w:t xml:space="preserve">II. The Changing Landscape of Academic Research</w:t>
      </w:r>
    </w:p>
    <w:p>
      <w:pPr>
        <w:pStyle w:val="FirstParagraph"/>
      </w:pPr>
      <w:r>
        <w:t xml:space="preserve">The traditional model of academia, characterized by isolated ivory towers, has largely dissolved. Today’s academic researcher is expected to be a polyglot professional: part scientist, part entrepreneur, and part diplomat. In the context of Germany’s "Excellence Strategy" (Exzellenzstrategie), researchers are under immense pressure to secure third-party funding and demonstrate societal impact. This shift transforms the researcher from a passive observer of phenomena into an active agent of innovation.</w:t>
      </w:r>
    </w:p>
    <w:p>
      <w:pPr>
        <w:pStyle w:val="BodyText"/>
      </w:pPr>
      <w:r>
        <w:t xml:space="preserve">Furthermore, the digitization of knowledge has altered research methodologies. The modern academic researcher must be proficient in data science, artificial intelligence applications, and digital collaboration tools. This technological imperative is particularly pronounced in Munich, where industries such as automotive engineering (BMW), aerospace (Airbus), and biotechnology (BioNTech) collaborate closely with university institutions like the Technical University of Munich (TUM) and Ludwig-Maximilians-Universität München.</w:t>
      </w:r>
    </w:p>
    <w:bookmarkEnd w:id="21"/>
    <w:bookmarkStart w:id="23" w:name="X530c98ed05c8ea46919e62893f8b37367c083ee"/>
    <w:p>
      <w:pPr>
        <w:pStyle w:val="Heading2"/>
      </w:pPr>
      <w:r>
        <w:t xml:space="preserve">III. The Munich Context: A Case Study in Regional Excellence</w:t>
      </w:r>
    </w:p>
    <w:p>
      <w:pPr>
        <w:pStyle w:val="FirstParagraph"/>
      </w:pPr>
      <w:r>
        <w:t xml:space="preserve">To fully understand the profile of the contemporary academic researcher, one must examine their operating environment. Munich represents a distinct case study within Germany due to its unique convergence of wealth, culture, and scientific density.</w:t>
      </w:r>
    </w:p>
    <w:bookmarkStart w:id="22" w:name="the-munich-advantage"/>
    <w:p>
      <w:pPr>
        <w:pStyle w:val="Heading3"/>
      </w:pPr>
      <w:r>
        <w:t xml:space="preserve">The Munich Advantage</w:t>
      </w:r>
    </w:p>
    <w:p>
      <w:pPr>
        <w:numPr>
          <w:ilvl w:val="0"/>
          <w:numId w:val="1001"/>
        </w:numPr>
        <w:pStyle w:val="Compact"/>
      </w:pPr>
      <w:r>
        <w:rPr>
          <w:bCs/>
          <w:b/>
        </w:rPr>
        <w:t xml:space="preserve">Economic Strength:</w:t>
      </w:r>
      <w:r>
        <w:t xml:space="preserve"> </w:t>
      </w:r>
      <w:r>
        <w:t xml:space="preserve">Bavaria has the strongest regional economy in Germany. This provides ample opportunities for industry-sponsored research positions, allowing researchers to bridge the gap between theory and application.</w:t>
      </w:r>
    </w:p>
    <w:p>
      <w:pPr>
        <w:numPr>
          <w:ilvl w:val="0"/>
          <w:numId w:val="1001"/>
        </w:numPr>
        <w:pStyle w:val="Compact"/>
      </w:pPr>
      <w:r>
        <w:rPr>
          <w:bCs/>
          <w:b/>
        </w:rPr>
        <w:t xml:space="preserve">Institutional Density:</w:t>
      </w:r>
      <w:r>
        <w:t xml:space="preserve"> </w:t>
      </w:r>
      <w:r>
        <w:t xml:space="preserve">Munich hosts a high concentration of Max Planck Institutes, Helmholtz Centers, and Fraunhofer Societies alongside its universities. This cluster effect facilitates interdisciplinary collaboration.</w:t>
      </w:r>
    </w:p>
    <w:p>
      <w:pPr>
        <w:numPr>
          <w:ilvl w:val="0"/>
          <w:numId w:val="1001"/>
        </w:numPr>
        <w:pStyle w:val="Compact"/>
      </w:pPr>
      <w:r>
        <w:rPr>
          <w:bCs/>
          <w:b/>
        </w:rPr>
        <w:t xml:space="preserve">Internationalization:</w:t>
      </w:r>
      <w:r>
        <w:t xml:space="preserve"> </w:t>
      </w:r>
      <w:r>
        <w:t xml:space="preserve">Unlike some smaller German towns where academia is insular, Munich attracts top-tier global talent. The academic researcher here operates in an English-friendly environment for international conferences and publications, while navigating the bureaucratic complexities of German administration.</w:t>
      </w:r>
    </w:p>
    <w:bookmarkEnd w:id="22"/>
    <w:p>
      <w:pPr>
        <w:pStyle w:val="FirstParagraph"/>
      </w:pPr>
      <w:r>
        <w:t xml:space="preserve">In this ecosystem, the role of the academic researcher in Munich is defined by "Third Mission" activities—responsibilities beyond teaching and research that include technology transfer and public engagement. Researchers are frequently expected to spin off companies or consult for industry partners. For instance, a computer scientist at TUM might not only publish papers on machine learning but also collaborate directly with Munich-based tech startups to implement those algorithms in real-world scenarios.</w:t>
      </w:r>
    </w:p>
    <w:bookmarkEnd w:id="23"/>
    <w:bookmarkStart w:id="27" w:name="X7096524a3bce582ce1b1eed29bc548a50230ea8"/>
    <w:p>
      <w:pPr>
        <w:pStyle w:val="Heading2"/>
      </w:pPr>
      <w:r>
        <w:t xml:space="preserve">IV. Challenges Facing the Academic Researcher in Germany</w:t>
      </w:r>
    </w:p>
    <w:p>
      <w:pPr>
        <w:pStyle w:val="FirstParagraph"/>
      </w:pPr>
      <w:r>
        <w:t xml:space="preserve">Despite the opportunities, the path for an academic researcher in Germany is fraught with systemic challenges. These are particularly acute in high-cost regions like Munich.</w:t>
      </w:r>
    </w:p>
    <w:bookmarkStart w:id="24" w:name="a.-precarity-and-job-security"/>
    <w:p>
      <w:pPr>
        <w:pStyle w:val="Heading3"/>
      </w:pPr>
      <w:r>
        <w:t xml:space="preserve">A. Precarity and Job Security</w:t>
      </w:r>
    </w:p>
    <w:p>
      <w:pPr>
        <w:pStyle w:val="FirstParagraph"/>
      </w:pPr>
      <w:r>
        <w:t xml:space="preserve">The "postdoc trap" remains a significant issue across German academia. Many researchers spend years on fixed-term contracts dependent on specific grant cycles. This lack of permanent positions hinders long-term planning and financial stability, particularly in Munich where the cost of living is among the highest in Germany. For an academic researcher, finding affordable housing while managing high expectations for publication output is a daily struggle.</w:t>
      </w:r>
    </w:p>
    <w:bookmarkEnd w:id="24"/>
    <w:bookmarkStart w:id="25" w:name="b.-bureaucratic-complexity"/>
    <w:p>
      <w:pPr>
        <w:pStyle w:val="Heading3"/>
      </w:pPr>
      <w:r>
        <w:t xml:space="preserve">B. Bureaucratic Complexity</w:t>
      </w:r>
    </w:p>
    <w:p>
      <w:pPr>
        <w:pStyle w:val="FirstParagraph"/>
      </w:pPr>
      <w:r>
        <w:t xml:space="preserve">German academia is known for its rigorous bureaucracy. Administrative hurdles related to visa processes (for international researchers), procurement regulations, and compliance with European Union funding guidelines can be daunting. The academic researcher often spends a disproportionate amount of time on paperwork rather than actual research, a phenomenon that leads to burnout.</w:t>
      </w:r>
    </w:p>
    <w:bookmarkEnd w:id="25"/>
    <w:bookmarkStart w:id="26" w:name="c.-work-life-balance"/>
    <w:p>
      <w:pPr>
        <w:pStyle w:val="Heading3"/>
      </w:pPr>
      <w:r>
        <w:t xml:space="preserve">C. Work-Life Balance</w:t>
      </w:r>
    </w:p>
    <w:p>
      <w:pPr>
        <w:pStyle w:val="FirstParagraph"/>
      </w:pPr>
      <w:r>
        <w:t xml:space="preserve">The culture of academia often glorifies overwork. In competitive environments like Munich, where the pressure to publish in high-impact journals is intense, maintaining a healthy work-life balance can be difficult. This cultural aspect is slowly changing with newer generations of researchers advocating for better mental health support and flexible working conditions.</w:t>
      </w:r>
    </w:p>
    <w:bookmarkEnd w:id="26"/>
    <w:bookmarkEnd w:id="27"/>
    <w:bookmarkStart w:id="28" w:name="Xfffb806298b0966918fb543eabb480f0a725411"/>
    <w:p>
      <w:pPr>
        <w:pStyle w:val="Heading2"/>
      </w:pPr>
      <w:r>
        <w:t xml:space="preserve">V. Strategic Recommendations for Stakeholders</w:t>
      </w:r>
    </w:p>
    <w:p>
      <w:pPr>
        <w:pStyle w:val="FirstParagraph"/>
      </w:pPr>
      <w:r>
        <w:t xml:space="preserve">Based on the analysis of the academic researcher’s role in Munich, Germany, several recommendations can be made for universities, funding bodies, and policymakers:</w:t>
      </w:r>
    </w:p>
    <w:p>
      <w:pPr>
        <w:numPr>
          <w:ilvl w:val="0"/>
          <w:numId w:val="1002"/>
        </w:numPr>
        <w:pStyle w:val="Compact"/>
      </w:pPr>
      <w:r>
        <w:rPr>
          <w:bCs/>
          <w:b/>
        </w:rPr>
        <w:t xml:space="preserve">Tenure Track Expansion:</w:t>
      </w:r>
      <w:r>
        <w:t xml:space="preserve"> </w:t>
      </w:r>
      <w:r>
        <w:t xml:space="preserve">Universities in Munich should accelerate the transition from fixed-term contracts to tenure-track positions. This will help retain top talent who might otherwise leave for more stable industries or countries.</w:t>
      </w:r>
    </w:p>
    <w:p>
      <w:pPr>
        <w:numPr>
          <w:ilvl w:val="0"/>
          <w:numId w:val="1002"/>
        </w:numPr>
        <w:pStyle w:val="Compact"/>
      </w:pPr>
      <w:r>
        <w:rPr>
          <w:bCs/>
          <w:b/>
        </w:rPr>
        <w:t xml:space="preserve">Digital Administrative Support:</w:t>
      </w:r>
      <w:r>
        <w:t xml:space="preserve"> </w:t>
      </w:r>
      <w:r>
        <w:t xml:space="preserve">Investment in digital infrastructure to reduce bureaucratic burdens on researchers is essential. Streamlining grant applications and reporting can free up valuable time for scientific inquiry.</w:t>
      </w:r>
    </w:p>
    <w:p>
      <w:pPr>
        <w:numPr>
          <w:ilvl w:val="0"/>
          <w:numId w:val="1002"/>
        </w:numPr>
        <w:pStyle w:val="Compact"/>
      </w:pPr>
      <w:r>
        <w:rPr>
          <w:bCs/>
          <w:b/>
        </w:rPr>
        <w:t xml:space="preserve">Housing Initiatives:</w:t>
      </w:r>
      <w:r>
        <w:t xml:space="preserve"> </w:t>
      </w:r>
      <w:r>
        <w:t xml:space="preserve">Given the high cost of living, local government and universities should collaborate to provide subsidized housing or housing allowances for early-career academic researchers. This would enhance the attractiveness of Munich as a global research destination.</w:t>
      </w:r>
    </w:p>
    <w:p>
      <w:pPr>
        <w:numPr>
          <w:ilvl w:val="0"/>
          <w:numId w:val="1002"/>
        </w:numPr>
        <w:pStyle w:val="Compact"/>
      </w:pPr>
      <w:r>
        <w:rPr>
          <w:bCs/>
          <w:b/>
        </w:rPr>
        <w:t xml:space="preserve">Mental Health Resources:</w:t>
      </w:r>
      <w:r>
        <w:t xml:space="preserve"> </w:t>
      </w:r>
      <w:r>
        <w:t xml:space="preserve">Institutions must institutionalize mental health support specifically tailored to the pressures of academic research, including peer-support networks and counseling services.</w:t>
      </w:r>
    </w:p>
    <w:bookmarkEnd w:id="28"/>
    <w:bookmarkStart w:id="29" w:name="vi.-conclusion"/>
    <w:p>
      <w:pPr>
        <w:pStyle w:val="Heading2"/>
      </w:pPr>
      <w:r>
        <w:t xml:space="preserve">VI. Conclusion</w:t>
      </w:r>
    </w:p>
    <w:p>
      <w:pPr>
        <w:pStyle w:val="FirstParagraph"/>
      </w:pPr>
      <w:r>
        <w:t xml:space="preserve">The profile of the academic researcher has undergone a radical transformation in recent decades. They are no longer just custodians of knowledge but active participants in the global economy, driving innovation through collaboration with industry and society. In Germany, and specifically in Munich, this role is amplified by the region’s economic power and scientific infrastructure.</w:t>
      </w:r>
    </w:p>
    <w:p>
      <w:pPr>
        <w:pStyle w:val="BodyText"/>
      </w:pPr>
      <w:r>
        <w:t xml:space="preserve">Munich stands as a beacon for academic excellence, attracting researchers from around the world who seek to contribute to cutting-edge discoveries. However, the sustainability of this model depends on addressing structural issues such as job precarity, bureaucratic inefficiency, and high living costs. By prioritizing the well-being and professional stability of academic researchers, Germany can ensure that Munich remains a leading force in global science for generations to come.</w:t>
      </w:r>
    </w:p>
    <w:p>
      <w:pPr>
        <w:pStyle w:val="BodyText"/>
      </w:pPr>
      <w:r>
        <w:t xml:space="preserve">In summary, while the challenges are significant, the opportunities within the German academic system—particularly in dynamic hubs like Munich—are unparalleled. The modern academic researcher is a vital asset to society, and supporting their success is not just an investment in education, but an investment in the future prosperity of Germany.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Munich</dc:title>
  <dc:creator/>
  <dc:language>en</dc:language>
  <cp:keywords/>
  <dcterms:created xsi:type="dcterms:W3CDTF">2026-07-29T12:26:31Z</dcterms:created>
  <dcterms:modified xsi:type="dcterms:W3CDTF">2026-07-29T12:26:31Z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